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240"/>
      </w:pPr>
      <w:r>
        <w:drawing>
          <wp:inline distT="0" distB="0" distL="0" distR="0">
            <wp:extent cx="1463040" cy="360133"/>
            <wp:effectExtent l="0" t="0" r="0" b="0"/>
            <wp:docPr id="1" name="Logo" descr="Logo"/>
            <wp:cNvGraphicFramePr>
              <a:graphicFrameLocks noChangeAspect="1"/>
            </wp:cNvGraphicFramePr>
            <a:graphic>
              <a:graphicData uri="http://schemas.openxmlformats.org/drawingml/2006/picture">
                <pic:pic>
                  <pic:nvPicPr>
                    <pic:cNvPr id="1" name="Logo" descr="Logo"/>
                    <pic:cNvPicPr>
                      <a:picLocks noChangeAspect="1" noChangeArrowheads="1"/>
                    </pic:cNvPicPr>
                  </pic:nvPicPr>
                  <pic:blipFill>
                    <a:blip r:embed="rIdLogo"/>
                    <a:stretch>
                      <a:fillRect/>
                    </a:stretch>
                  </pic:blipFill>
                  <pic:spPr>
                    <a:xfrm>
                      <a:off x="0" y="0"/>
                      <a:ext cx="1463040" cy="360133"/>
                    </a:xfrm>
                    <a:prstGeom prst="rect">
                      <a:avLst/>
                    </a:prstGeom>
                  </pic:spPr>
                </pic:pic>
              </a:graphicData>
            </a:graphic>
          </wp:inline>
        </w:drawing>
      </w:r>
    </w:p>
    <w:p>
      <w:pPr>
        <w:pStyle w:val="Heading1"/>
      </w:pPr>
      <w:r>
        <w:t xml:space="preserve">AI and agent governance framework</w:t>
      </w:r>
    </w:p>
    <w:p>
      <w:pPr>
        <w:pStyle w:val="BodyText"/>
      </w:pPr>
      <w:r>
        <w:rPr>
          <w:b/>
        </w:rPr>
        <w:t xml:space="preserve">"Gate" in this framework always means a lifecycle gate - a decision point a client's agent passes through.</w:t>
      </w:r>
    </w:p>
    <w:p>
      <w:pPr>
        <w:pStyle w:val="Heading2"/>
      </w:pPr>
      <w:r>
        <w:t xml:space="preserve">1. Purpose and applicability</w:t>
      </w:r>
    </w:p>
    <w:p>
      <w:pPr>
        <w:pStyle w:val="BodyText"/>
      </w:pPr>
      <w:r>
        <w:t xml:space="preserve">This framework answers one operating question:</w:t>
      </w:r>
    </w:p>
    <w:p>
      <w:pPr>
        <w:pStyle w:val="Quote"/>
      </w:pPr>
      <w:r>
        <w:t xml:space="preserve">Who may approve, change, operate, suspend and retire an agent, through which lifecycle gates, with which registry record and retained evidence?</w:t>
      </w:r>
    </w:p>
    <w:p>
      <w:pPr>
        <w:pStyle w:val="BodyText"/>
      </w:pPr>
      <w:r>
        <w:t xml:space="preserve">It applies to a production AI system that includes an agent, from intake through retirement. It may also be used for a non-agentic AI system where the same decision rights are useful. The client maps its job titles and committees onto the functional accountabilities defined here.</w:t>
      </w:r>
    </w:p>
    <w:p>
      <w:pPr>
        <w:pStyle w:val="BodyText"/>
      </w:pPr>
      <w:r>
        <w:t xml:space="preserve">NIST describes AI risk management as a continuous lifecycle activity organized through GOVERN, MAP, MEASURE and MANAGE. GOVERN is cross-cutting and informs the other three functions; NIST also states that documentation can improve transparency, human review and accountability. [G01] [G02] The NIST Playbook contains voluntary suggestions rather than a checklist that every organization must follow. [G03] This document therefore uses NIST as a source basis but presents an Alpha AI recommended operating method, not a NIST conformance claim.</w:t>
      </w:r>
    </w:p>
    <w:p>
      <w:pPr>
        <w:pStyle w:val="BodyText"/>
      </w:pPr>
      <w:r>
        <w:t xml:space="preserve">NIST published the Generative AI Profile as a companion to AI RMF 1.0. [G04] NIST states that the Profile can help organizations identify risks specific to generative AI and select actions aligned with their goals and priorities. [G01] ISO describes ISO/IEC 42001 as an AI management-system standard using Plan-Do-Check-Act to govern organizational AI risks and opportunities. [G05] The OECD AI Principles address trustworthy AI across the AI lifecycle and were updated in May 2024. [G06]</w:t>
      </w:r>
    </w:p>
    <w:p>
      <w:pPr>
        <w:pStyle w:val="Heading3"/>
      </w:pPr>
      <w:r>
        <w:t xml:space="preserve">Source and assurance limits</w:t>
      </w:r>
    </w:p>
    <w:p>
      <w:pPr>
        <w:pStyle w:val="ListParagraph"/>
        <w:numPr>
          <w:ilvl w:val="0"/>
          <w:numId w:val="1"/>
        </w:numPr>
      </w:pPr>
      <w:r>
        <w:t xml:space="preserve">The licensed ISO/IEC 42001 text was not consulted. [G05]</w:t>
      </w:r>
    </w:p>
    <w:p>
      <w:pPr>
        <w:pStyle w:val="ListParagraph"/>
        <w:numPr>
          <w:ilvl w:val="0"/>
          <w:numId w:val="1"/>
        </w:numPr>
      </w:pPr>
      <w:r>
        <w:t xml:space="preserve">This document makes no clause-level ISO statement, mapping, alignment or conformance claim.</w:t>
      </w:r>
    </w:p>
    <w:p>
      <w:pPr>
        <w:pStyle w:val="ListParagraph"/>
        <w:numPr>
          <w:ilvl w:val="0"/>
          <w:numId w:val="1"/>
        </w:numPr>
      </w:pPr>
      <w:r>
        <w:t xml:space="preserve">It is not legal advice and does not determine which law or regulation applies.</w:t>
      </w:r>
    </w:p>
    <w:p>
      <w:pPr>
        <w:pStyle w:val="ListParagraph"/>
        <w:numPr>
          <w:ilvl w:val="0"/>
          <w:numId w:val="1"/>
        </w:numPr>
      </w:pPr>
      <w:r>
        <w:t xml:space="preserve">Detailed threats, controls, regulatory mappings, compliance reports and audit packs are addressed in separate companion frameworks.</w:t>
      </w:r>
    </w:p>
    <w:p>
      <w:pPr>
        <w:pStyle w:val="ListParagraph"/>
        <w:numPr>
          <w:ilvl w:val="0"/>
          <w:numId w:val="1"/>
        </w:numPr>
      </w:pPr>
      <w:r>
        <w:t xml:space="preserve">Client-specific job titles, risk appetite, legal obligations and approval thresholds remain deployment-brief decisions.</w:t>
      </w:r>
    </w:p>
    <w:p>
      <w:pPr>
        <w:pStyle w:val="Heading2"/>
      </w:pPr>
      <w:r>
        <w:t xml:space="preserve">2. Governance principles</w:t>
      </w:r>
    </w:p>
    <w:p>
      <w:pPr>
        <w:pStyle w:val="BodyText"/>
      </w:pPr>
      <w:r>
        <w:t xml:space="preserve">The following are Alpha AI recommended design principles, informed by NIST's treatment of governance as continuous, cross-cutting and lifecycle-wide. [G01] [G02]</w:t>
      </w:r>
    </w:p>
    <w:p>
      <w:pPr>
        <w:pStyle w:val="ListParagraph"/>
        <w:numPr>
          <w:ilvl w:val="0"/>
          <w:numId w:val="2"/>
        </w:numPr>
      </w:pPr>
      <w:r>
        <w:rPr>
          <w:b/>
        </w:rPr>
        <w:t xml:space="preserve">One accountable owner.</w:t>
      </w:r>
      <w:r>
        <w:t xml:space="preserve"> Every production agent has one accountable business owner, even when several teams build or operate it.</w:t>
      </w:r>
    </w:p>
    <w:p>
      <w:pPr>
        <w:pStyle w:val="ListParagraph"/>
        <w:numPr>
          <w:ilvl w:val="0"/>
          <w:numId w:val="2"/>
        </w:numPr>
      </w:pPr>
      <w:r>
        <w:rPr>
          <w:b/>
        </w:rPr>
        <w:t xml:space="preserve">Authority follows impact.</w:t>
      </w:r>
      <w:r>
        <w:t xml:space="preserve"> Approval authority and evidence depth increase with the agent's potential impact and ability to act.</w:t>
      </w:r>
    </w:p>
    <w:p>
      <w:pPr>
        <w:pStyle w:val="ListParagraph"/>
        <w:numPr>
          <w:ilvl w:val="0"/>
          <w:numId w:val="2"/>
        </w:numPr>
      </w:pPr>
      <w:r>
        <w:rPr>
          <w:b/>
        </w:rPr>
        <w:t xml:space="preserve">No unrecorded production agent.</w:t>
      </w:r>
      <w:r>
        <w:t xml:space="preserve"> A production deployment requires an active registry record and current owner.</w:t>
      </w:r>
    </w:p>
    <w:p>
      <w:pPr>
        <w:pStyle w:val="ListParagraph"/>
        <w:numPr>
          <w:ilvl w:val="0"/>
          <w:numId w:val="2"/>
        </w:numPr>
      </w:pPr>
      <w:r>
        <w:rPr>
          <w:b/>
        </w:rPr>
        <w:t xml:space="preserve">Evidence before approval.</w:t>
      </w:r>
      <w:r>
        <w:t xml:space="preserve"> A gate passes only when its exit condition is met and the named evidence is retained.</w:t>
      </w:r>
    </w:p>
    <w:p>
      <w:pPr>
        <w:pStyle w:val="ListParagraph"/>
        <w:numPr>
          <w:ilvl w:val="0"/>
          <w:numId w:val="2"/>
        </w:numPr>
      </w:pPr>
      <w:r>
        <w:rPr>
          <w:b/>
        </w:rPr>
        <w:t xml:space="preserve">Change is part of the lifecycle.</w:t>
      </w:r>
      <w:r>
        <w:t xml:space="preserve"> A material change returns the agent to the applicable earlier gate.</w:t>
      </w:r>
    </w:p>
    <w:p>
      <w:pPr>
        <w:pStyle w:val="ListParagraph"/>
        <w:numPr>
          <w:ilvl w:val="0"/>
          <w:numId w:val="2"/>
        </w:numPr>
      </w:pPr>
      <w:r>
        <w:rPr>
          <w:b/>
        </w:rPr>
        <w:t xml:space="preserve">Exceptions expire.</w:t>
      </w:r>
      <w:r>
        <w:t xml:space="preserve"> Every exception has an owner, compensating measures, an expiry date and a defined closure test.</w:t>
      </w:r>
    </w:p>
    <w:p>
      <w:pPr>
        <w:pStyle w:val="ListParagraph"/>
        <w:numPr>
          <w:ilvl w:val="0"/>
          <w:numId w:val="2"/>
        </w:numPr>
      </w:pPr>
      <w:r>
        <w:rPr>
          <w:b/>
        </w:rPr>
        <w:t xml:space="preserve">Stop authority is explicit.</w:t>
      </w:r>
      <w:r>
        <w:t xml:space="preserve"> Operations and risk functions may suspend an agent within their defined authority without waiting for a routine governance meeting.</w:t>
      </w:r>
    </w:p>
    <w:p>
      <w:pPr>
        <w:pStyle w:val="ListParagraph"/>
        <w:numPr>
          <w:ilvl w:val="0"/>
          <w:numId w:val="2"/>
        </w:numPr>
      </w:pPr>
      <w:r>
        <w:rPr>
          <w:b/>
        </w:rPr>
        <w:t xml:space="preserve">Unknowns remain visible.</w:t>
      </w:r>
      <w:r>
        <w:t xml:space="preserve"> An unresolved legal, technical or evidence question is recorded as an open dependency, not converted into an assumption.</w:t>
      </w:r>
    </w:p>
    <w:p>
      <w:pPr>
        <w:pStyle w:val="Heading2"/>
      </w:pPr>
      <w:r>
        <w:t xml:space="preserve">3. Functional accountabilities and decision rights</w:t>
      </w:r>
    </w:p>
    <w:p>
      <w:pPr>
        <w:pStyle w:val="BodyText"/>
      </w:pPr>
      <w:r>
        <w:t xml:space="preserve">These are accountabilities, not job titles. One person may hold several roles for a lower-tier agent if conflicts are documented. For Tier 3 and Tier 4, the approver and independent assurance role must be different people.</w:t>
      </w:r>
    </w:p>
    <w:tbl>
      <w:tblPr>
        <w:tblStyle w:val="ContentTable"/>
        <w:tblW w:w="9720" w:type="dxa"/>
        <w:tblLayout w:type="fixed"/>
        <w:tblLook w:val="04A0" w:firstRow="1" w:lastRow="0" w:firstColumn="0" w:lastColumn="0" w:noHBand="0" w:noVBand="1"/>
      </w:tblPr>
      <w:tblGrid>
        <w:gridCol w:w="1193"/>
        <w:gridCol w:w="3509"/>
        <w:gridCol w:w="3438"/>
        <w:gridCol w:w="1580"/>
      </w:tblGrid>
      <w:tr>
        <w:trPr>
          <w:tblHeader/>
        </w:trPr>
        <w:tc>
          <w:tcPr>
            <w:tcW w:w="1193" w:type="dxa"/>
            <w:shd w:val="clear" w:color="auto" w:fill="F5F0E7"/>
          </w:tcPr>
          <w:p>
            <w:pPr>
              <w:pStyle w:val="TableHeader"/>
            </w:pPr>
            <w:r>
              <w:t xml:space="preserve">Functional role</w:t>
            </w:r>
          </w:p>
        </w:tc>
        <w:tc>
          <w:tcPr>
            <w:tcW w:w="3509" w:type="dxa"/>
            <w:shd w:val="clear" w:color="auto" w:fill="F5F0E7"/>
          </w:tcPr>
          <w:p>
            <w:pPr>
              <w:pStyle w:val="TableHeader"/>
            </w:pPr>
            <w:r>
              <w:t xml:space="preserve">Accountable for</w:t>
            </w:r>
          </w:p>
        </w:tc>
        <w:tc>
          <w:tcPr>
            <w:tcW w:w="3438" w:type="dxa"/>
            <w:shd w:val="clear" w:color="auto" w:fill="F5F0E7"/>
          </w:tcPr>
          <w:p>
            <w:pPr>
              <w:pStyle w:val="TableHeader"/>
            </w:pPr>
            <w:r>
              <w:t xml:space="preserve">May approve or decide</w:t>
            </w:r>
          </w:p>
        </w:tc>
        <w:tc>
          <w:tcPr>
            <w:tcW w:w="1580" w:type="dxa"/>
            <w:shd w:val="clear" w:color="auto" w:fill="F5F0E7"/>
          </w:tcPr>
          <w:p>
            <w:pPr>
              <w:pStyle w:val="TableHeader"/>
            </w:pPr>
            <w:r>
              <w:t xml:space="preserve">Must not self-approve</w:t>
            </w:r>
          </w:p>
        </w:tc>
      </w:tr>
      <w:tr>
        <w:tc>
          <w:tcPr>
            <w:tcW w:w="1193" w:type="dxa"/>
          </w:tcPr>
          <w:p>
            <w:pPr>
              <w:pStyle w:val="TableBody"/>
            </w:pPr>
            <w:r>
              <w:rPr>
                <w:b/>
              </w:rPr>
              <w:t xml:space="preserve">Governance authority</w:t>
            </w:r>
          </w:p>
        </w:tc>
        <w:tc>
          <w:tcPr>
            <w:tcW w:w="3509" w:type="dxa"/>
          </w:tcPr>
          <w:p>
            <w:pPr>
              <w:pStyle w:val="TableBody"/>
            </w:pPr>
            <w:r>
              <w:t xml:space="preserve">Organizational AI policy, risk appetite, tier definitions and unresolved high-impact exceptions</w:t>
            </w:r>
          </w:p>
        </w:tc>
        <w:tc>
          <w:tcPr>
            <w:tcW w:w="3438" w:type="dxa"/>
          </w:tcPr>
          <w:p>
            <w:pPr>
              <w:pStyle w:val="TableBody"/>
            </w:pPr>
            <w:r>
              <w:t xml:space="preserve">Policy, Tier 4 production use, Tier 4 risk acceptance, permanent stop</w:t>
            </w:r>
          </w:p>
        </w:tc>
        <w:tc>
          <w:tcPr>
            <w:tcW w:w="1580" w:type="dxa"/>
          </w:tcPr>
          <w:p>
            <w:pPr>
              <w:pStyle w:val="TableBody"/>
            </w:pPr>
            <w:r>
              <w:t xml:space="preserve">Its own assurance finding</w:t>
            </w:r>
          </w:p>
        </w:tc>
      </w:tr>
      <w:tr>
        <w:tc>
          <w:tcPr>
            <w:tcW w:w="1193" w:type="dxa"/>
          </w:tcPr>
          <w:p>
            <w:pPr>
              <w:pStyle w:val="TableBody"/>
            </w:pPr>
            <w:r>
              <w:rPr>
                <w:b/>
              </w:rPr>
              <w:t xml:space="preserve">Accountable business owner</w:t>
            </w:r>
          </w:p>
        </w:tc>
        <w:tc>
          <w:tcPr>
            <w:tcW w:w="3509" w:type="dxa"/>
          </w:tcPr>
          <w:p>
            <w:pPr>
              <w:pStyle w:val="TableBody"/>
            </w:pPr>
            <w:r>
              <w:t xml:space="preserve">Intended outcome, affected workflow, acceptable residual risk, funding and continued business need</w:t>
            </w:r>
          </w:p>
        </w:tc>
        <w:tc>
          <w:tcPr>
            <w:tcW w:w="3438" w:type="dxa"/>
          </w:tcPr>
          <w:p>
            <w:pPr>
              <w:pStyle w:val="TableBody"/>
            </w:pPr>
            <w:r>
              <w:t xml:space="preserve">Intake sponsor, business acceptance, Tier 1-3 residual risk within delegated authority, retirement</w:t>
            </w:r>
          </w:p>
        </w:tc>
        <w:tc>
          <w:tcPr>
            <w:tcW w:w="1580" w:type="dxa"/>
          </w:tcPr>
          <w:p>
            <w:pPr>
              <w:pStyle w:val="TableBody"/>
            </w:pPr>
            <w:r>
              <w:t xml:space="preserve">Technical validation or independent assurance</w:t>
            </w:r>
          </w:p>
        </w:tc>
      </w:tr>
      <w:tr>
        <w:tc>
          <w:tcPr>
            <w:tcW w:w="1193" w:type="dxa"/>
          </w:tcPr>
          <w:p>
            <w:pPr>
              <w:pStyle w:val="TableBody"/>
            </w:pPr>
            <w:r>
              <w:rPr>
                <w:b/>
              </w:rPr>
              <w:t xml:space="preserve">Agent product owner</w:t>
            </w:r>
          </w:p>
        </w:tc>
        <w:tc>
          <w:tcPr>
            <w:tcW w:w="3509" w:type="dxa"/>
          </w:tcPr>
          <w:p>
            <w:pPr>
              <w:pStyle w:val="TableBody"/>
            </w:pPr>
            <w:r>
              <w:t xml:space="preserve">Agent purpose, requirements, registry accuracy, change backlog and evidence coordination</w:t>
            </w:r>
          </w:p>
        </w:tc>
        <w:tc>
          <w:tcPr>
            <w:tcW w:w="3438" w:type="dxa"/>
          </w:tcPr>
          <w:p>
            <w:pPr>
              <w:pStyle w:val="TableBody"/>
            </w:pPr>
            <w:r>
              <w:t xml:space="preserve">Requirements baseline and non-material changes within an approved envelope</w:t>
            </w:r>
          </w:p>
        </w:tc>
        <w:tc>
          <w:tcPr>
            <w:tcW w:w="1580" w:type="dxa"/>
          </w:tcPr>
          <w:p>
            <w:pPr>
              <w:pStyle w:val="TableBody"/>
            </w:pPr>
            <w:r>
              <w:t xml:space="preserve">Production approval</w:t>
            </w:r>
          </w:p>
        </w:tc>
      </w:tr>
      <w:tr>
        <w:tc>
          <w:tcPr>
            <w:tcW w:w="1193" w:type="dxa"/>
          </w:tcPr>
          <w:p>
            <w:pPr>
              <w:pStyle w:val="TableBody"/>
            </w:pPr>
            <w:r>
              <w:rPr>
                <w:b/>
              </w:rPr>
              <w:t xml:space="preserve">Technical owner</w:t>
            </w:r>
          </w:p>
        </w:tc>
        <w:tc>
          <w:tcPr>
            <w:tcW w:w="3509" w:type="dxa"/>
          </w:tcPr>
          <w:p>
            <w:pPr>
              <w:pStyle w:val="TableBody"/>
            </w:pPr>
            <w:r>
              <w:t xml:space="preserve">Architecture, implementation, deployment integrity, recovery design and technical documentation</w:t>
            </w:r>
          </w:p>
        </w:tc>
        <w:tc>
          <w:tcPr>
            <w:tcW w:w="3438" w:type="dxa"/>
          </w:tcPr>
          <w:p>
            <w:pPr>
              <w:pStyle w:val="TableBody"/>
            </w:pPr>
            <w:r>
              <w:t xml:space="preserve">Build readiness and technical release candidate</w:t>
            </w:r>
          </w:p>
        </w:tc>
        <w:tc>
          <w:tcPr>
            <w:tcW w:w="1580" w:type="dxa"/>
          </w:tcPr>
          <w:p>
            <w:pPr>
              <w:pStyle w:val="TableBody"/>
            </w:pPr>
            <w:r>
              <w:t xml:space="preserve">Independent validation of its own work</w:t>
            </w:r>
          </w:p>
        </w:tc>
      </w:tr>
      <w:tr>
        <w:tc>
          <w:tcPr>
            <w:tcW w:w="1193" w:type="dxa"/>
          </w:tcPr>
          <w:p>
            <w:pPr>
              <w:pStyle w:val="TableBody"/>
            </w:pPr>
            <w:r>
              <w:rPr>
                <w:b/>
              </w:rPr>
              <w:t xml:space="preserve">Independent assurance owner</w:t>
            </w:r>
          </w:p>
        </w:tc>
        <w:tc>
          <w:tcPr>
            <w:tcW w:w="3509" w:type="dxa"/>
          </w:tcPr>
          <w:p>
            <w:pPr>
              <w:pStyle w:val="TableBody"/>
            </w:pPr>
            <w:r>
              <w:t xml:space="preserve">Independent challenge of risk tier, test sufficiency, control evidence and unresolved findings</w:t>
            </w:r>
          </w:p>
        </w:tc>
        <w:tc>
          <w:tcPr>
            <w:tcW w:w="3438" w:type="dxa"/>
          </w:tcPr>
          <w:p>
            <w:pPr>
              <w:pStyle w:val="TableBody"/>
            </w:pPr>
            <w:r>
              <w:t xml:space="preserve">Validation opinion; closure of assurance findings</w:t>
            </w:r>
          </w:p>
        </w:tc>
        <w:tc>
          <w:tcPr>
            <w:tcW w:w="1580" w:type="dxa"/>
          </w:tcPr>
          <w:p>
            <w:pPr>
              <w:pStyle w:val="TableBody"/>
            </w:pPr>
            <w:r>
              <w:t xml:space="preserve">The build or business acceptance</w:t>
            </w:r>
          </w:p>
        </w:tc>
      </w:tr>
      <w:tr>
        <w:tc>
          <w:tcPr>
            <w:tcW w:w="1193" w:type="dxa"/>
          </w:tcPr>
          <w:p>
            <w:pPr>
              <w:pStyle w:val="TableBody"/>
            </w:pPr>
            <w:r>
              <w:rPr>
                <w:b/>
              </w:rPr>
              <w:t xml:space="preserve">Operations owner</w:t>
            </w:r>
          </w:p>
        </w:tc>
        <w:tc>
          <w:tcPr>
            <w:tcW w:w="3509" w:type="dxa"/>
          </w:tcPr>
          <w:p>
            <w:pPr>
              <w:pStyle w:val="TableBody"/>
            </w:pPr>
            <w:r>
              <w:t xml:space="preserve">Monitoring, incident response, access to the kill mechanism, service review and operational evidence</w:t>
            </w:r>
          </w:p>
        </w:tc>
        <w:tc>
          <w:tcPr>
            <w:tcW w:w="3438" w:type="dxa"/>
          </w:tcPr>
          <w:p>
            <w:pPr>
              <w:pStyle w:val="TableBody"/>
            </w:pPr>
            <w:r>
              <w:t xml:space="preserve">Operational readiness; emergency suspension; restart within an approved runbook</w:t>
            </w:r>
          </w:p>
        </w:tc>
        <w:tc>
          <w:tcPr>
            <w:tcW w:w="1580" w:type="dxa"/>
          </w:tcPr>
          <w:p>
            <w:pPr>
              <w:pStyle w:val="TableBody"/>
            </w:pPr>
            <w:r>
              <w:t xml:space="preserve">Permanent risk acceptance</w:t>
            </w:r>
          </w:p>
        </w:tc>
      </w:tr>
      <w:tr>
        <w:tc>
          <w:tcPr>
            <w:tcW w:w="1193" w:type="dxa"/>
          </w:tcPr>
          <w:p>
            <w:pPr>
              <w:pStyle w:val="TableBody"/>
            </w:pPr>
            <w:r>
              <w:rPr>
                <w:b/>
              </w:rPr>
              <w:t xml:space="preserve">Data accountability owner</w:t>
            </w:r>
          </w:p>
        </w:tc>
        <w:tc>
          <w:tcPr>
            <w:tcW w:w="3509" w:type="dxa"/>
          </w:tcPr>
          <w:p>
            <w:pPr>
              <w:pStyle w:val="TableBody"/>
            </w:pPr>
            <w:r>
              <w:t xml:space="preserve">Permitted data use, classification, lineage, retention and deletion requirements</w:t>
            </w:r>
          </w:p>
        </w:tc>
        <w:tc>
          <w:tcPr>
            <w:tcW w:w="3438" w:type="dxa"/>
          </w:tcPr>
          <w:p>
            <w:pPr>
              <w:pStyle w:val="TableBody"/>
            </w:pPr>
            <w:r>
              <w:t xml:space="preserve">Data-use conditions and data readiness</w:t>
            </w:r>
          </w:p>
        </w:tc>
        <w:tc>
          <w:tcPr>
            <w:tcW w:w="1580" w:type="dxa"/>
          </w:tcPr>
          <w:p>
            <w:pPr>
              <w:pStyle w:val="TableBody"/>
            </w:pPr>
            <w:r>
              <w:t xml:space="preserve">Broader production approval</w:t>
            </w:r>
          </w:p>
        </w:tc>
      </w:tr>
      <w:tr>
        <w:tc>
          <w:tcPr>
            <w:tcW w:w="1193" w:type="dxa"/>
          </w:tcPr>
          <w:p>
            <w:pPr>
              <w:pStyle w:val="TableBody"/>
            </w:pPr>
            <w:r>
              <w:rPr>
                <w:b/>
              </w:rPr>
              <w:t xml:space="preserve">Registry custodian</w:t>
            </w:r>
          </w:p>
        </w:tc>
        <w:tc>
          <w:tcPr>
            <w:tcW w:w="3509" w:type="dxa"/>
          </w:tcPr>
          <w:p>
            <w:pPr>
              <w:pStyle w:val="TableBody"/>
            </w:pPr>
            <w:r>
              <w:t xml:space="preserve">Registry schema, record quality, attestations, status transitions and archive</w:t>
            </w:r>
          </w:p>
        </w:tc>
        <w:tc>
          <w:tcPr>
            <w:tcW w:w="3438" w:type="dxa"/>
          </w:tcPr>
          <w:p>
            <w:pPr>
              <w:pStyle w:val="TableBody"/>
            </w:pPr>
            <w:r>
              <w:t xml:space="preserve">Administrative completeness of a registry record</w:t>
            </w:r>
          </w:p>
        </w:tc>
        <w:tc>
          <w:tcPr>
            <w:tcW w:w="1580" w:type="dxa"/>
          </w:tcPr>
          <w:p>
            <w:pPr>
              <w:pStyle w:val="TableBody"/>
            </w:pPr>
            <w:r>
              <w:t xml:space="preserve">Business, risk or technical acceptance</w:t>
            </w:r>
          </w:p>
        </w:tc>
      </w:tr>
      <w:tr>
        <w:tc>
          <w:tcPr>
            <w:tcW w:w="1193" w:type="dxa"/>
          </w:tcPr>
          <w:p>
            <w:pPr>
              <w:pStyle w:val="TableBody"/>
            </w:pPr>
            <w:r>
              <w:rPr>
                <w:b/>
              </w:rPr>
              <w:t xml:space="preserve">Regulatory applicability owner</w:t>
            </w:r>
          </w:p>
        </w:tc>
        <w:tc>
          <w:tcPr>
            <w:tcW w:w="3509" w:type="dxa"/>
          </w:tcPr>
          <w:p>
            <w:pPr>
              <w:pStyle w:val="TableBody"/>
            </w:pPr>
            <w:r>
              <w:t xml:space="preserve">Determination of applicable legal and regulatory obligations with qualified counsel where required</w:t>
            </w:r>
          </w:p>
        </w:tc>
        <w:tc>
          <w:tcPr>
            <w:tcW w:w="3438" w:type="dxa"/>
          </w:tcPr>
          <w:p>
            <w:pPr>
              <w:pStyle w:val="TableBody"/>
            </w:pPr>
            <w:r>
              <w:t xml:space="preserve">Applicability decision and interpretation record</w:t>
            </w:r>
          </w:p>
        </w:tc>
        <w:tc>
          <w:tcPr>
            <w:tcW w:w="1580" w:type="dxa"/>
          </w:tcPr>
          <w:p>
            <w:pPr>
              <w:pStyle w:val="TableBody"/>
            </w:pPr>
            <w:r>
              <w:t xml:space="preserve">Technical validation</w:t>
            </w:r>
          </w:p>
        </w:tc>
      </w:tr>
    </w:tbl>
    <w:p>
      <w:pPr>
        <w:pStyle w:val="Heading3"/>
      </w:pPr>
      <w:r>
        <w:t xml:space="preserve">Decision-rights matrix</w:t>
      </w:r>
    </w:p>
    <w:p>
      <w:pPr>
        <w:pStyle w:val="BodyText"/>
      </w:pPr>
      <w:r>
        <w:rPr>
          <w:rStyle w:val="InlineCode"/>
        </w:rPr>
        <w:t xml:space="preserve">A</w:t>
      </w:r>
      <w:r>
        <w:t xml:space="preserve"> means final accountability, </w:t>
      </w:r>
      <w:r>
        <w:rPr>
          <w:rStyle w:val="InlineCode"/>
        </w:rPr>
        <w:t xml:space="preserve">R</w:t>
      </w:r>
      <w:r>
        <w:t xml:space="preserve"> prepares or executes, </w:t>
      </w:r>
      <w:r>
        <w:rPr>
          <w:rStyle w:val="InlineCode"/>
        </w:rPr>
        <w:t xml:space="preserve">C</w:t>
      </w:r>
      <w:r>
        <w:t xml:space="preserve"> must be consulted, </w:t>
      </w:r>
      <w:r>
        <w:rPr>
          <w:rStyle w:val="InlineCode"/>
        </w:rPr>
        <w:t xml:space="preserve">I</w:t>
      </w:r>
      <w:r>
        <w:t xml:space="preserve"> must be informed and </w:t>
      </w:r>
      <w:r>
        <w:rPr>
          <w:rStyle w:val="InlineCode"/>
        </w:rPr>
        <w:t xml:space="preserve">V</w:t>
      </w:r>
      <w:r>
        <w:t xml:space="preserve"> must record a positive independent validation before the decision passes. The client records named people against these functions in the agent registry.</w:t>
      </w:r>
    </w:p>
    <w:tbl>
      <w:tblPr>
        <w:tblStyle w:val="ContentTable"/>
        <w:tblW w:w="9720" w:type="dxa"/>
        <w:tblLayout w:type="fixed"/>
        <w:tblLook w:val="04A0" w:firstRow="1" w:lastRow="0" w:firstColumn="0" w:lastColumn="0" w:noHBand="0" w:noVBand="1"/>
      </w:tblPr>
      <w:tblGrid>
        <w:gridCol w:w="2793"/>
        <w:gridCol w:w="1164"/>
        <w:gridCol w:w="814"/>
        <w:gridCol w:w="756"/>
        <w:gridCol w:w="873"/>
        <w:gridCol w:w="873"/>
        <w:gridCol w:w="931"/>
        <w:gridCol w:w="582"/>
        <w:gridCol w:w="934"/>
      </w:tblGrid>
      <w:tr>
        <w:trPr>
          <w:tblHeader/>
        </w:trPr>
        <w:tc>
          <w:tcPr>
            <w:tcW w:w="2793" w:type="dxa"/>
            <w:shd w:val="clear" w:color="auto" w:fill="F5F0E7"/>
          </w:tcPr>
          <w:p>
            <w:pPr>
              <w:pStyle w:val="TableHeaderCompact"/>
            </w:pPr>
            <w:r>
              <w:t xml:space="preserve">Decision</w:t>
            </w:r>
          </w:p>
        </w:tc>
        <w:tc>
          <w:tcPr>
            <w:tcW w:w="1164" w:type="dxa"/>
            <w:shd w:val="clear" w:color="auto" w:fill="F5F0E7"/>
          </w:tcPr>
          <w:p>
            <w:pPr>
              <w:pStyle w:val="TableHeaderCompact"/>
            </w:pPr>
            <w:r>
              <w:t xml:space="preserve">Governance authority</w:t>
            </w:r>
          </w:p>
        </w:tc>
        <w:tc>
          <w:tcPr>
            <w:tcW w:w="814" w:type="dxa"/>
            <w:shd w:val="clear" w:color="auto" w:fill="F5F0E7"/>
          </w:tcPr>
          <w:p>
            <w:pPr>
              <w:pStyle w:val="TableHeaderCompact"/>
            </w:pPr>
            <w:r>
              <w:t xml:space="preserve">Business owner</w:t>
            </w:r>
          </w:p>
        </w:tc>
        <w:tc>
          <w:tcPr>
            <w:tcW w:w="756" w:type="dxa"/>
            <w:shd w:val="clear" w:color="auto" w:fill="F5F0E7"/>
          </w:tcPr>
          <w:p>
            <w:pPr>
              <w:pStyle w:val="TableHeaderCompact"/>
            </w:pPr>
            <w:r>
              <w:t xml:space="preserve">Product owner</w:t>
            </w:r>
          </w:p>
        </w:tc>
        <w:tc>
          <w:tcPr>
            <w:tcW w:w="873" w:type="dxa"/>
            <w:shd w:val="clear" w:color="auto" w:fill="F5F0E7"/>
          </w:tcPr>
          <w:p>
            <w:pPr>
              <w:pStyle w:val="TableHeaderCompact"/>
            </w:pPr>
            <w:r>
              <w:t xml:space="preserve">Technical owner</w:t>
            </w:r>
          </w:p>
        </w:tc>
        <w:tc>
          <w:tcPr>
            <w:tcW w:w="873" w:type="dxa"/>
            <w:shd w:val="clear" w:color="auto" w:fill="F5F0E7"/>
          </w:tcPr>
          <w:p>
            <w:pPr>
              <w:pStyle w:val="TableHeaderCompact"/>
            </w:pPr>
            <w:r>
              <w:t xml:space="preserve">Assurance owner</w:t>
            </w:r>
          </w:p>
        </w:tc>
        <w:tc>
          <w:tcPr>
            <w:tcW w:w="931" w:type="dxa"/>
            <w:shd w:val="clear" w:color="auto" w:fill="F5F0E7"/>
          </w:tcPr>
          <w:p>
            <w:pPr>
              <w:pStyle w:val="TableHeaderCompact"/>
            </w:pPr>
            <w:r>
              <w:t xml:space="preserve">Operations owner</w:t>
            </w:r>
          </w:p>
        </w:tc>
        <w:tc>
          <w:tcPr>
            <w:tcW w:w="582" w:type="dxa"/>
            <w:shd w:val="clear" w:color="auto" w:fill="F5F0E7"/>
          </w:tcPr>
          <w:p>
            <w:pPr>
              <w:pStyle w:val="TableHeaderCompact"/>
            </w:pPr>
            <w:r>
              <w:t xml:space="preserve">Data owner</w:t>
            </w:r>
          </w:p>
        </w:tc>
        <w:tc>
          <w:tcPr>
            <w:tcW w:w="934" w:type="dxa"/>
            <w:shd w:val="clear" w:color="auto" w:fill="F5F0E7"/>
          </w:tcPr>
          <w:p>
            <w:pPr>
              <w:pStyle w:val="TableHeaderCompact"/>
            </w:pPr>
            <w:r>
              <w:t xml:space="preserve">Regulatory owner</w:t>
            </w:r>
          </w:p>
        </w:tc>
      </w:tr>
      <w:tr>
        <w:tc>
          <w:tcPr>
            <w:tcW w:w="2793" w:type="dxa"/>
          </w:tcPr>
          <w:p>
            <w:pPr>
              <w:pStyle w:val="TableBodyCompact"/>
            </w:pPr>
            <w:r>
              <w:t xml:space="preserve">Accept intake and initial tier</w:t>
            </w:r>
          </w:p>
        </w:tc>
        <w:tc>
          <w:tcPr>
            <w:tcW w:w="1164" w:type="dxa"/>
          </w:tcPr>
          <w:p>
            <w:pPr>
              <w:pStyle w:val="TableBodyCompact"/>
            </w:pPr>
            <w:r>
              <w:t xml:space="preserve">C</w:t>
            </w:r>
          </w:p>
        </w:tc>
        <w:tc>
          <w:tcPr>
            <w:tcW w:w="814" w:type="dxa"/>
          </w:tcPr>
          <w:p>
            <w:pPr>
              <w:pStyle w:val="TableBodyCompact"/>
            </w:pPr>
            <w:r>
              <w:t xml:space="preserve">A</w:t>
            </w:r>
          </w:p>
        </w:tc>
        <w:tc>
          <w:tcPr>
            <w:tcW w:w="756" w:type="dxa"/>
          </w:tcPr>
          <w:p>
            <w:pPr>
              <w:pStyle w:val="TableBodyCompact"/>
            </w:pPr>
            <w:r>
              <w:t xml:space="preserve">R</w:t>
            </w:r>
          </w:p>
        </w:tc>
        <w:tc>
          <w:tcPr>
            <w:tcW w:w="873" w:type="dxa"/>
          </w:tcPr>
          <w:p>
            <w:pPr>
              <w:pStyle w:val="TableBodyCompact"/>
            </w:pPr>
            <w:r>
              <w:t xml:space="preserve">C</w:t>
            </w:r>
          </w:p>
        </w:tc>
        <w:tc>
          <w:tcPr>
            <w:tcW w:w="873" w:type="dxa"/>
          </w:tcPr>
          <w:p>
            <w:pPr>
              <w:pStyle w:val="TableBodyCompact"/>
            </w:pPr>
            <w:r>
              <w:t xml:space="preserve">C</w:t>
            </w:r>
          </w:p>
        </w:tc>
        <w:tc>
          <w:tcPr>
            <w:tcW w:w="931" w:type="dxa"/>
          </w:tcPr>
          <w:p>
            <w:pPr>
              <w:pStyle w:val="TableBodyCompact"/>
            </w:pPr>
            <w:r>
              <w:t xml:space="preserve">I</w:t>
            </w:r>
          </w:p>
        </w:tc>
        <w:tc>
          <w:tcPr>
            <w:tcW w:w="582" w:type="dxa"/>
          </w:tcPr>
          <w:p>
            <w:pPr>
              <w:pStyle w:val="TableBodyCompact"/>
            </w:pPr>
            <w:r>
              <w:t xml:space="preserve">C</w:t>
            </w:r>
          </w:p>
        </w:tc>
        <w:tc>
          <w:tcPr>
            <w:tcW w:w="934" w:type="dxa"/>
          </w:tcPr>
          <w:p>
            <w:pPr>
              <w:pStyle w:val="TableBodyCompact"/>
            </w:pPr>
            <w:r>
              <w:t xml:space="preserve">C</w:t>
            </w:r>
          </w:p>
        </w:tc>
      </w:tr>
      <w:tr>
        <w:tc>
          <w:tcPr>
            <w:tcW w:w="2793" w:type="dxa"/>
          </w:tcPr>
          <w:p>
            <w:pPr>
              <w:pStyle w:val="TableBodyCompact"/>
            </w:pPr>
            <w:r>
              <w:t xml:space="preserve">Approve requirements and action boundary</w:t>
            </w:r>
          </w:p>
        </w:tc>
        <w:tc>
          <w:tcPr>
            <w:tcW w:w="1164" w:type="dxa"/>
          </w:tcPr>
          <w:p>
            <w:pPr>
              <w:pStyle w:val="TableBodyCompact"/>
            </w:pPr>
            <w:r>
              <w:t xml:space="preserve">C</w:t>
            </w:r>
          </w:p>
        </w:tc>
        <w:tc>
          <w:tcPr>
            <w:tcW w:w="814" w:type="dxa"/>
          </w:tcPr>
          <w:p>
            <w:pPr>
              <w:pStyle w:val="TableBodyCompact"/>
            </w:pPr>
            <w:r>
              <w:t xml:space="preserve">A</w:t>
            </w:r>
          </w:p>
        </w:tc>
        <w:tc>
          <w:tcPr>
            <w:tcW w:w="756" w:type="dxa"/>
          </w:tcPr>
          <w:p>
            <w:pPr>
              <w:pStyle w:val="TableBodyCompact"/>
            </w:pPr>
            <w:r>
              <w:t xml:space="preserve">R</w:t>
            </w:r>
          </w:p>
        </w:tc>
        <w:tc>
          <w:tcPr>
            <w:tcW w:w="873" w:type="dxa"/>
          </w:tcPr>
          <w:p>
            <w:pPr>
              <w:pStyle w:val="TableBodyCompact"/>
            </w:pPr>
            <w:r>
              <w:t xml:space="preserve">C</w:t>
            </w:r>
          </w:p>
        </w:tc>
        <w:tc>
          <w:tcPr>
            <w:tcW w:w="873" w:type="dxa"/>
          </w:tcPr>
          <w:p>
            <w:pPr>
              <w:pStyle w:val="TableBodyCompact"/>
            </w:pPr>
            <w:r>
              <w:t xml:space="preserve">C</w:t>
            </w:r>
          </w:p>
        </w:tc>
        <w:tc>
          <w:tcPr>
            <w:tcW w:w="931" w:type="dxa"/>
          </w:tcPr>
          <w:p>
            <w:pPr>
              <w:pStyle w:val="TableBodyCompact"/>
            </w:pPr>
            <w:r>
              <w:t xml:space="preserve">C</w:t>
            </w:r>
          </w:p>
        </w:tc>
        <w:tc>
          <w:tcPr>
            <w:tcW w:w="582" w:type="dxa"/>
          </w:tcPr>
          <w:p>
            <w:pPr>
              <w:pStyle w:val="TableBodyCompact"/>
            </w:pPr>
            <w:r>
              <w:t xml:space="preserve">C</w:t>
            </w:r>
          </w:p>
        </w:tc>
        <w:tc>
          <w:tcPr>
            <w:tcW w:w="934" w:type="dxa"/>
          </w:tcPr>
          <w:p>
            <w:pPr>
              <w:pStyle w:val="TableBodyCompact"/>
            </w:pPr>
            <w:r>
              <w:t xml:space="preserve">C</w:t>
            </w:r>
          </w:p>
        </w:tc>
      </w:tr>
      <w:tr>
        <w:tc>
          <w:tcPr>
            <w:tcW w:w="2793" w:type="dxa"/>
          </w:tcPr>
          <w:p>
            <w:pPr>
              <w:pStyle w:val="TableBodyCompact"/>
            </w:pPr>
            <w:r>
              <w:t xml:space="preserve">Accept validation evidence</w:t>
            </w:r>
          </w:p>
        </w:tc>
        <w:tc>
          <w:tcPr>
            <w:tcW w:w="1164" w:type="dxa"/>
          </w:tcPr>
          <w:p>
            <w:pPr>
              <w:pStyle w:val="TableBodyCompact"/>
            </w:pPr>
            <w:r>
              <w:t xml:space="preserve">I</w:t>
            </w:r>
          </w:p>
        </w:tc>
        <w:tc>
          <w:tcPr>
            <w:tcW w:w="814" w:type="dxa"/>
          </w:tcPr>
          <w:p>
            <w:pPr>
              <w:pStyle w:val="TableBodyCompact"/>
            </w:pPr>
            <w:r>
              <w:t xml:space="preserve">C</w:t>
            </w:r>
          </w:p>
        </w:tc>
        <w:tc>
          <w:tcPr>
            <w:tcW w:w="756" w:type="dxa"/>
          </w:tcPr>
          <w:p>
            <w:pPr>
              <w:pStyle w:val="TableBodyCompact"/>
            </w:pPr>
            <w:r>
              <w:t xml:space="preserve">R</w:t>
            </w:r>
          </w:p>
        </w:tc>
        <w:tc>
          <w:tcPr>
            <w:tcW w:w="873" w:type="dxa"/>
          </w:tcPr>
          <w:p>
            <w:pPr>
              <w:pStyle w:val="TableBodyCompact"/>
            </w:pPr>
            <w:r>
              <w:t xml:space="preserve">C</w:t>
            </w:r>
          </w:p>
        </w:tc>
        <w:tc>
          <w:tcPr>
            <w:tcW w:w="873" w:type="dxa"/>
          </w:tcPr>
          <w:p>
            <w:pPr>
              <w:pStyle w:val="TableBodyCompact"/>
            </w:pPr>
            <w:r>
              <w:t xml:space="preserve">A</w:t>
            </w:r>
          </w:p>
        </w:tc>
        <w:tc>
          <w:tcPr>
            <w:tcW w:w="931" w:type="dxa"/>
          </w:tcPr>
          <w:p>
            <w:pPr>
              <w:pStyle w:val="TableBodyCompact"/>
            </w:pPr>
            <w:r>
              <w:t xml:space="preserve">C</w:t>
            </w:r>
          </w:p>
        </w:tc>
        <w:tc>
          <w:tcPr>
            <w:tcW w:w="582" w:type="dxa"/>
          </w:tcPr>
          <w:p>
            <w:pPr>
              <w:pStyle w:val="TableBodyCompact"/>
            </w:pPr>
            <w:r>
              <w:t xml:space="preserve">C</w:t>
            </w:r>
          </w:p>
        </w:tc>
        <w:tc>
          <w:tcPr>
            <w:tcW w:w="934" w:type="dxa"/>
          </w:tcPr>
          <w:p>
            <w:pPr>
              <w:pStyle w:val="TableBodyCompact"/>
            </w:pPr>
            <w:r>
              <w:t xml:space="preserve">C</w:t>
            </w:r>
          </w:p>
        </w:tc>
      </w:tr>
      <w:tr>
        <w:tc>
          <w:tcPr>
            <w:tcW w:w="2793" w:type="dxa"/>
          </w:tcPr>
          <w:p>
            <w:pPr>
              <w:pStyle w:val="TableBodyCompact"/>
            </w:pPr>
            <w:r>
              <w:t xml:space="preserve">Approve Tier 1-2 production use</w:t>
            </w:r>
          </w:p>
        </w:tc>
        <w:tc>
          <w:tcPr>
            <w:tcW w:w="1164" w:type="dxa"/>
          </w:tcPr>
          <w:p>
            <w:pPr>
              <w:pStyle w:val="TableBodyCompact"/>
            </w:pPr>
            <w:r>
              <w:t xml:space="preserve">I</w:t>
            </w:r>
          </w:p>
        </w:tc>
        <w:tc>
          <w:tcPr>
            <w:tcW w:w="814" w:type="dxa"/>
          </w:tcPr>
          <w:p>
            <w:pPr>
              <w:pStyle w:val="TableBodyCompact"/>
            </w:pPr>
            <w:r>
              <w:t xml:space="preserve">A</w:t>
            </w:r>
          </w:p>
        </w:tc>
        <w:tc>
          <w:tcPr>
            <w:tcW w:w="756" w:type="dxa"/>
          </w:tcPr>
          <w:p>
            <w:pPr>
              <w:pStyle w:val="TableBodyCompact"/>
            </w:pPr>
            <w:r>
              <w:t xml:space="preserve">R</w:t>
            </w:r>
          </w:p>
        </w:tc>
        <w:tc>
          <w:tcPr>
            <w:tcW w:w="873" w:type="dxa"/>
          </w:tcPr>
          <w:p>
            <w:pPr>
              <w:pStyle w:val="TableBodyCompact"/>
            </w:pPr>
            <w:r>
              <w:t xml:space="preserve">C</w:t>
            </w:r>
          </w:p>
        </w:tc>
        <w:tc>
          <w:tcPr>
            <w:tcW w:w="873" w:type="dxa"/>
          </w:tcPr>
          <w:p>
            <w:pPr>
              <w:pStyle w:val="TableBodyCompact"/>
            </w:pPr>
            <w:r>
              <w:t xml:space="preserve">C</w:t>
            </w:r>
          </w:p>
        </w:tc>
        <w:tc>
          <w:tcPr>
            <w:tcW w:w="931" w:type="dxa"/>
          </w:tcPr>
          <w:p>
            <w:pPr>
              <w:pStyle w:val="TableBodyCompact"/>
            </w:pPr>
            <w:r>
              <w:t xml:space="preserve">C</w:t>
            </w:r>
          </w:p>
        </w:tc>
        <w:tc>
          <w:tcPr>
            <w:tcW w:w="582" w:type="dxa"/>
          </w:tcPr>
          <w:p>
            <w:pPr>
              <w:pStyle w:val="TableBodyCompact"/>
            </w:pPr>
            <w:r>
              <w:t xml:space="preserve">C</w:t>
            </w:r>
          </w:p>
        </w:tc>
        <w:tc>
          <w:tcPr>
            <w:tcW w:w="934" w:type="dxa"/>
          </w:tcPr>
          <w:p>
            <w:pPr>
              <w:pStyle w:val="TableBodyCompact"/>
            </w:pPr>
            <w:r>
              <w:t xml:space="preserve">C</w:t>
            </w:r>
          </w:p>
        </w:tc>
      </w:tr>
      <w:tr>
        <w:tc>
          <w:tcPr>
            <w:tcW w:w="2793" w:type="dxa"/>
          </w:tcPr>
          <w:p>
            <w:pPr>
              <w:pStyle w:val="TableBodyCompact"/>
            </w:pPr>
            <w:r>
              <w:t xml:space="preserve">Approve Tier 3 production use</w:t>
            </w:r>
          </w:p>
        </w:tc>
        <w:tc>
          <w:tcPr>
            <w:tcW w:w="1164" w:type="dxa"/>
          </w:tcPr>
          <w:p>
            <w:pPr>
              <w:pStyle w:val="TableBodyCompact"/>
            </w:pPr>
            <w:r>
              <w:t xml:space="preserve">C</w:t>
            </w:r>
          </w:p>
        </w:tc>
        <w:tc>
          <w:tcPr>
            <w:tcW w:w="814" w:type="dxa"/>
          </w:tcPr>
          <w:p>
            <w:pPr>
              <w:pStyle w:val="TableBodyCompact"/>
            </w:pPr>
            <w:r>
              <w:t xml:space="preserve">A</w:t>
            </w:r>
          </w:p>
        </w:tc>
        <w:tc>
          <w:tcPr>
            <w:tcW w:w="756" w:type="dxa"/>
          </w:tcPr>
          <w:p>
            <w:pPr>
              <w:pStyle w:val="TableBodyCompact"/>
            </w:pPr>
            <w:r>
              <w:t xml:space="preserve">R</w:t>
            </w:r>
          </w:p>
        </w:tc>
        <w:tc>
          <w:tcPr>
            <w:tcW w:w="873" w:type="dxa"/>
          </w:tcPr>
          <w:p>
            <w:pPr>
              <w:pStyle w:val="TableBodyCompact"/>
            </w:pPr>
            <w:r>
              <w:t xml:space="preserve">C</w:t>
            </w:r>
          </w:p>
        </w:tc>
        <w:tc>
          <w:tcPr>
            <w:tcW w:w="873" w:type="dxa"/>
          </w:tcPr>
          <w:p>
            <w:pPr>
              <w:pStyle w:val="TableBodyCompact"/>
            </w:pPr>
            <w:r>
              <w:t xml:space="preserve">V</w:t>
            </w:r>
          </w:p>
        </w:tc>
        <w:tc>
          <w:tcPr>
            <w:tcW w:w="931" w:type="dxa"/>
          </w:tcPr>
          <w:p>
            <w:pPr>
              <w:pStyle w:val="TableBodyCompact"/>
            </w:pPr>
            <w:r>
              <w:t xml:space="preserve">C</w:t>
            </w:r>
          </w:p>
        </w:tc>
        <w:tc>
          <w:tcPr>
            <w:tcW w:w="582" w:type="dxa"/>
          </w:tcPr>
          <w:p>
            <w:pPr>
              <w:pStyle w:val="TableBodyCompact"/>
            </w:pPr>
            <w:r>
              <w:t xml:space="preserve">C</w:t>
            </w:r>
          </w:p>
        </w:tc>
        <w:tc>
          <w:tcPr>
            <w:tcW w:w="934" w:type="dxa"/>
          </w:tcPr>
          <w:p>
            <w:pPr>
              <w:pStyle w:val="TableBodyCompact"/>
            </w:pPr>
            <w:r>
              <w:t xml:space="preserve">C</w:t>
            </w:r>
          </w:p>
        </w:tc>
      </w:tr>
      <w:tr>
        <w:tc>
          <w:tcPr>
            <w:tcW w:w="2793" w:type="dxa"/>
          </w:tcPr>
          <w:p>
            <w:pPr>
              <w:pStyle w:val="TableBodyCompact"/>
            </w:pPr>
            <w:r>
              <w:t xml:space="preserve">Approve Tier 4 production use</w:t>
            </w:r>
          </w:p>
        </w:tc>
        <w:tc>
          <w:tcPr>
            <w:tcW w:w="1164" w:type="dxa"/>
          </w:tcPr>
          <w:p>
            <w:pPr>
              <w:pStyle w:val="TableBodyCompact"/>
            </w:pPr>
            <w:r>
              <w:t xml:space="preserve">A</w:t>
            </w:r>
          </w:p>
        </w:tc>
        <w:tc>
          <w:tcPr>
            <w:tcW w:w="814" w:type="dxa"/>
          </w:tcPr>
          <w:p>
            <w:pPr>
              <w:pStyle w:val="TableBodyCompact"/>
            </w:pPr>
            <w:r>
              <w:t xml:space="preserve">C</w:t>
            </w:r>
          </w:p>
        </w:tc>
        <w:tc>
          <w:tcPr>
            <w:tcW w:w="756" w:type="dxa"/>
          </w:tcPr>
          <w:p>
            <w:pPr>
              <w:pStyle w:val="TableBodyCompact"/>
            </w:pPr>
            <w:r>
              <w:t xml:space="preserve">R</w:t>
            </w:r>
          </w:p>
        </w:tc>
        <w:tc>
          <w:tcPr>
            <w:tcW w:w="873" w:type="dxa"/>
          </w:tcPr>
          <w:p>
            <w:pPr>
              <w:pStyle w:val="TableBodyCompact"/>
            </w:pPr>
            <w:r>
              <w:t xml:space="preserve">C</w:t>
            </w:r>
          </w:p>
        </w:tc>
        <w:tc>
          <w:tcPr>
            <w:tcW w:w="873" w:type="dxa"/>
          </w:tcPr>
          <w:p>
            <w:pPr>
              <w:pStyle w:val="TableBodyCompact"/>
            </w:pPr>
            <w:r>
              <w:t xml:space="preserve">V</w:t>
            </w:r>
          </w:p>
        </w:tc>
        <w:tc>
          <w:tcPr>
            <w:tcW w:w="931" w:type="dxa"/>
          </w:tcPr>
          <w:p>
            <w:pPr>
              <w:pStyle w:val="TableBodyCompact"/>
            </w:pPr>
            <w:r>
              <w:t xml:space="preserve">C</w:t>
            </w:r>
          </w:p>
        </w:tc>
        <w:tc>
          <w:tcPr>
            <w:tcW w:w="582" w:type="dxa"/>
          </w:tcPr>
          <w:p>
            <w:pPr>
              <w:pStyle w:val="TableBodyCompact"/>
            </w:pPr>
            <w:r>
              <w:t xml:space="preserve">C</w:t>
            </w:r>
          </w:p>
        </w:tc>
        <w:tc>
          <w:tcPr>
            <w:tcW w:w="934" w:type="dxa"/>
          </w:tcPr>
          <w:p>
            <w:pPr>
              <w:pStyle w:val="TableBodyCompact"/>
            </w:pPr>
            <w:r>
              <w:t xml:space="preserve">C</w:t>
            </w:r>
          </w:p>
        </w:tc>
      </w:tr>
      <w:tr>
        <w:tc>
          <w:tcPr>
            <w:tcW w:w="2793" w:type="dxa"/>
          </w:tcPr>
          <w:p>
            <w:pPr>
              <w:pStyle w:val="TableBodyCompact"/>
            </w:pPr>
            <w:r>
              <w:t xml:space="preserve">Suspend immediately</w:t>
            </w:r>
          </w:p>
        </w:tc>
        <w:tc>
          <w:tcPr>
            <w:tcW w:w="1164" w:type="dxa"/>
          </w:tcPr>
          <w:p>
            <w:pPr>
              <w:pStyle w:val="TableBodyCompact"/>
            </w:pPr>
            <w:r>
              <w:t xml:space="preserve">I</w:t>
            </w:r>
          </w:p>
        </w:tc>
        <w:tc>
          <w:tcPr>
            <w:tcW w:w="814" w:type="dxa"/>
          </w:tcPr>
          <w:p>
            <w:pPr>
              <w:pStyle w:val="TableBodyCompact"/>
            </w:pPr>
            <w:r>
              <w:t xml:space="preserve">I</w:t>
            </w:r>
          </w:p>
        </w:tc>
        <w:tc>
          <w:tcPr>
            <w:tcW w:w="756" w:type="dxa"/>
          </w:tcPr>
          <w:p>
            <w:pPr>
              <w:pStyle w:val="TableBodyCompact"/>
            </w:pPr>
            <w:r>
              <w:t xml:space="preserve">I</w:t>
            </w:r>
          </w:p>
        </w:tc>
        <w:tc>
          <w:tcPr>
            <w:tcW w:w="873" w:type="dxa"/>
          </w:tcPr>
          <w:p>
            <w:pPr>
              <w:pStyle w:val="TableBodyCompact"/>
            </w:pPr>
            <w:r>
              <w:t xml:space="preserve">R</w:t>
            </w:r>
          </w:p>
        </w:tc>
        <w:tc>
          <w:tcPr>
            <w:tcW w:w="873" w:type="dxa"/>
          </w:tcPr>
          <w:p>
            <w:pPr>
              <w:pStyle w:val="TableBodyCompact"/>
            </w:pPr>
            <w:r>
              <w:t xml:space="preserve">R</w:t>
            </w:r>
          </w:p>
        </w:tc>
        <w:tc>
          <w:tcPr>
            <w:tcW w:w="931" w:type="dxa"/>
          </w:tcPr>
          <w:p>
            <w:pPr>
              <w:pStyle w:val="TableBodyCompact"/>
            </w:pPr>
            <w:r>
              <w:t xml:space="preserve">A</w:t>
            </w:r>
          </w:p>
        </w:tc>
        <w:tc>
          <w:tcPr>
            <w:tcW w:w="582" w:type="dxa"/>
          </w:tcPr>
          <w:p>
            <w:pPr>
              <w:pStyle w:val="TableBodyCompact"/>
            </w:pPr>
            <w:r>
              <w:t xml:space="preserve">I</w:t>
            </w:r>
          </w:p>
        </w:tc>
        <w:tc>
          <w:tcPr>
            <w:tcW w:w="934" w:type="dxa"/>
          </w:tcPr>
          <w:p>
            <w:pPr>
              <w:pStyle w:val="TableBodyCompact"/>
            </w:pPr>
            <w:r>
              <w:t xml:space="preserve">I</w:t>
            </w:r>
          </w:p>
        </w:tc>
      </w:tr>
      <w:tr>
        <w:tc>
          <w:tcPr>
            <w:tcW w:w="2793" w:type="dxa"/>
          </w:tcPr>
          <w:p>
            <w:pPr>
              <w:pStyle w:val="TableBodyCompact"/>
            </w:pPr>
            <w:r>
              <w:t xml:space="preserve">Approve a Tier 4 exception or renew an exception</w:t>
            </w:r>
          </w:p>
        </w:tc>
        <w:tc>
          <w:tcPr>
            <w:tcW w:w="1164" w:type="dxa"/>
          </w:tcPr>
          <w:p>
            <w:pPr>
              <w:pStyle w:val="TableBodyCompact"/>
            </w:pPr>
            <w:r>
              <w:t xml:space="preserve">A</w:t>
            </w:r>
          </w:p>
        </w:tc>
        <w:tc>
          <w:tcPr>
            <w:tcW w:w="814" w:type="dxa"/>
          </w:tcPr>
          <w:p>
            <w:pPr>
              <w:pStyle w:val="TableBodyCompact"/>
            </w:pPr>
            <w:r>
              <w:t xml:space="preserve">C</w:t>
            </w:r>
          </w:p>
        </w:tc>
        <w:tc>
          <w:tcPr>
            <w:tcW w:w="756" w:type="dxa"/>
          </w:tcPr>
          <w:p>
            <w:pPr>
              <w:pStyle w:val="TableBodyCompact"/>
            </w:pPr>
            <w:r>
              <w:t xml:space="preserve">R</w:t>
            </w:r>
          </w:p>
        </w:tc>
        <w:tc>
          <w:tcPr>
            <w:tcW w:w="873" w:type="dxa"/>
          </w:tcPr>
          <w:p>
            <w:pPr>
              <w:pStyle w:val="TableBodyCompact"/>
            </w:pPr>
            <w:r>
              <w:t xml:space="preserve">C</w:t>
            </w:r>
          </w:p>
        </w:tc>
        <w:tc>
          <w:tcPr>
            <w:tcW w:w="873" w:type="dxa"/>
          </w:tcPr>
          <w:p>
            <w:pPr>
              <w:pStyle w:val="TableBodyCompact"/>
            </w:pPr>
            <w:r>
              <w:t xml:space="preserve">C</w:t>
            </w:r>
          </w:p>
        </w:tc>
        <w:tc>
          <w:tcPr>
            <w:tcW w:w="931" w:type="dxa"/>
          </w:tcPr>
          <w:p>
            <w:pPr>
              <w:pStyle w:val="TableBodyCompact"/>
            </w:pPr>
            <w:r>
              <w:t xml:space="preserve">C</w:t>
            </w:r>
          </w:p>
        </w:tc>
        <w:tc>
          <w:tcPr>
            <w:tcW w:w="582" w:type="dxa"/>
          </w:tcPr>
          <w:p>
            <w:pPr>
              <w:pStyle w:val="TableBodyCompact"/>
            </w:pPr>
            <w:r>
              <w:t xml:space="preserve">C</w:t>
            </w:r>
          </w:p>
        </w:tc>
        <w:tc>
          <w:tcPr>
            <w:tcW w:w="934" w:type="dxa"/>
          </w:tcPr>
          <w:p>
            <w:pPr>
              <w:pStyle w:val="TableBodyCompact"/>
            </w:pPr>
            <w:r>
              <w:t xml:space="preserve">C</w:t>
            </w:r>
          </w:p>
        </w:tc>
      </w:tr>
      <w:tr>
        <w:tc>
          <w:tcPr>
            <w:tcW w:w="2793" w:type="dxa"/>
          </w:tcPr>
          <w:p>
            <w:pPr>
              <w:pStyle w:val="TableBodyCompact"/>
            </w:pPr>
            <w:r>
              <w:t xml:space="preserve">Retire the agent</w:t>
            </w:r>
          </w:p>
        </w:tc>
        <w:tc>
          <w:tcPr>
            <w:tcW w:w="1164" w:type="dxa"/>
          </w:tcPr>
          <w:p>
            <w:pPr>
              <w:pStyle w:val="TableBodyCompact"/>
            </w:pPr>
            <w:r>
              <w:t xml:space="preserve">I</w:t>
            </w:r>
          </w:p>
        </w:tc>
        <w:tc>
          <w:tcPr>
            <w:tcW w:w="814" w:type="dxa"/>
          </w:tcPr>
          <w:p>
            <w:pPr>
              <w:pStyle w:val="TableBodyCompact"/>
            </w:pPr>
            <w:r>
              <w:t xml:space="preserve">A</w:t>
            </w:r>
          </w:p>
        </w:tc>
        <w:tc>
          <w:tcPr>
            <w:tcW w:w="756" w:type="dxa"/>
          </w:tcPr>
          <w:p>
            <w:pPr>
              <w:pStyle w:val="TableBodyCompact"/>
            </w:pPr>
            <w:r>
              <w:t xml:space="preserve">R</w:t>
            </w:r>
          </w:p>
        </w:tc>
        <w:tc>
          <w:tcPr>
            <w:tcW w:w="873" w:type="dxa"/>
          </w:tcPr>
          <w:p>
            <w:pPr>
              <w:pStyle w:val="TableBodyCompact"/>
            </w:pPr>
            <w:r>
              <w:t xml:space="preserve">R</w:t>
            </w:r>
          </w:p>
        </w:tc>
        <w:tc>
          <w:tcPr>
            <w:tcW w:w="873" w:type="dxa"/>
          </w:tcPr>
          <w:p>
            <w:pPr>
              <w:pStyle w:val="TableBodyCompact"/>
            </w:pPr>
            <w:r>
              <w:t xml:space="preserve">C</w:t>
            </w:r>
          </w:p>
        </w:tc>
        <w:tc>
          <w:tcPr>
            <w:tcW w:w="931" w:type="dxa"/>
          </w:tcPr>
          <w:p>
            <w:pPr>
              <w:pStyle w:val="TableBodyCompact"/>
            </w:pPr>
            <w:r>
              <w:t xml:space="preserve">R</w:t>
            </w:r>
          </w:p>
        </w:tc>
        <w:tc>
          <w:tcPr>
            <w:tcW w:w="582" w:type="dxa"/>
          </w:tcPr>
          <w:p>
            <w:pPr>
              <w:pStyle w:val="TableBodyCompact"/>
            </w:pPr>
            <w:r>
              <w:t xml:space="preserve">C</w:t>
            </w:r>
          </w:p>
        </w:tc>
        <w:tc>
          <w:tcPr>
            <w:tcW w:w="934" w:type="dxa"/>
          </w:tcPr>
          <w:p>
            <w:pPr>
              <w:pStyle w:val="TableBodyCompact"/>
            </w:pPr>
            <w:r>
              <w:t xml:space="preserve">C</w:t>
            </w:r>
          </w:p>
        </w:tc>
      </w:tr>
    </w:tbl>
    <w:p>
      <w:pPr>
        <w:pStyle w:val="Heading2"/>
      </w:pPr>
      <w:r>
        <w:t xml:space="preserve">4. Risk-tier interface</w:t>
      </w:r>
    </w:p>
    <w:p>
      <w:pPr>
        <w:pStyle w:val="BodyText"/>
      </w:pPr>
      <w:r>
        <w:t xml:space="preserve">NIST states that MAP establishes context for risk decisions, that MEASURE supplies documented testing and monitoring, and that MANAGE prioritizes and treats mapped and measured risks. [G02] This framework defines a four-tier interface so GOV1 can operate before GOV3 supplies the detailed control checklist and GOV4 supplies jurisdiction-specific regulatory mappings.</w:t>
      </w:r>
    </w:p>
    <w:p>
      <w:pPr>
        <w:pStyle w:val="BodyText"/>
      </w:pPr>
      <w:r>
        <w:t xml:space="preserve">These tiers are an Alpha AI governance method. They are not legal classifications and must not be labelled with a jurisdiction's statutory risk categories.</w:t>
      </w:r>
    </w:p>
    <w:tbl>
      <w:tblPr>
        <w:tblStyle w:val="ContentTable"/>
        <w:tblW w:w="9720" w:type="dxa"/>
        <w:tblLayout w:type="fixed"/>
        <w:tblLook w:val="04A0" w:firstRow="1" w:lastRow="0" w:firstColumn="0" w:lastColumn="0" w:noHBand="0" w:noVBand="1"/>
      </w:tblPr>
      <w:tblGrid>
        <w:gridCol w:w="883"/>
        <w:gridCol w:w="2752"/>
        <w:gridCol w:w="1818"/>
        <w:gridCol w:w="2684"/>
        <w:gridCol w:w="1583"/>
      </w:tblGrid>
      <w:tr>
        <w:trPr>
          <w:tblHeader/>
        </w:trPr>
        <w:tc>
          <w:tcPr>
            <w:tcW w:w="883" w:type="dxa"/>
            <w:shd w:val="clear" w:color="auto" w:fill="F5F0E7"/>
          </w:tcPr>
          <w:p>
            <w:pPr>
              <w:pStyle w:val="TableHeaderCompact"/>
            </w:pPr>
            <w:r>
              <w:t xml:space="preserve">Tier</w:t>
            </w:r>
          </w:p>
        </w:tc>
        <w:tc>
          <w:tcPr>
            <w:tcW w:w="2752" w:type="dxa"/>
            <w:shd w:val="clear" w:color="auto" w:fill="F5F0E7"/>
          </w:tcPr>
          <w:p>
            <w:pPr>
              <w:pStyle w:val="TableHeaderCompact"/>
            </w:pPr>
            <w:r>
              <w:t xml:space="preserve">Governance description</w:t>
            </w:r>
          </w:p>
        </w:tc>
        <w:tc>
          <w:tcPr>
            <w:tcW w:w="1818" w:type="dxa"/>
            <w:shd w:val="clear" w:color="auto" w:fill="F5F0E7"/>
          </w:tcPr>
          <w:p>
            <w:pPr>
              <w:pStyle w:val="TableHeaderCompact"/>
            </w:pPr>
            <w:r>
              <w:t xml:space="preserve">Approval authority</w:t>
            </w:r>
          </w:p>
        </w:tc>
        <w:tc>
          <w:tcPr>
            <w:tcW w:w="2684" w:type="dxa"/>
            <w:shd w:val="clear" w:color="auto" w:fill="F5F0E7"/>
          </w:tcPr>
          <w:p>
            <w:pPr>
              <w:pStyle w:val="TableHeaderCompact"/>
            </w:pPr>
            <w:r>
              <w:t xml:space="preserve">Minimum evidence depth</w:t>
            </w:r>
          </w:p>
        </w:tc>
        <w:tc>
          <w:tcPr>
            <w:tcW w:w="1583" w:type="dxa"/>
            <w:shd w:val="clear" w:color="auto" w:fill="F5F0E7"/>
          </w:tcPr>
          <w:p>
            <w:pPr>
              <w:pStyle w:val="TableHeaderCompact"/>
            </w:pPr>
            <w:r>
              <w:t xml:space="preserve">Review cadence</w:t>
            </w:r>
          </w:p>
        </w:tc>
      </w:tr>
      <w:tr>
        <w:tc>
          <w:tcPr>
            <w:tcW w:w="883" w:type="dxa"/>
          </w:tcPr>
          <w:p>
            <w:pPr>
              <w:pStyle w:val="TableBodyCompact"/>
            </w:pPr>
            <w:r>
              <w:rPr>
                <w:b/>
              </w:rPr>
              <w:t xml:space="preserve">Tier 1 — bounded assistive</w:t>
            </w:r>
          </w:p>
        </w:tc>
        <w:tc>
          <w:tcPr>
            <w:tcW w:w="2752" w:type="dxa"/>
          </w:tcPr>
          <w:p>
            <w:pPr>
              <w:pStyle w:val="TableBodyCompact"/>
            </w:pPr>
            <w:r>
              <w:t xml:space="preserve">Produces reversible drafts or analysis; a person decides and executes; no sensitive data or consequential reliance</w:t>
            </w:r>
          </w:p>
        </w:tc>
        <w:tc>
          <w:tcPr>
            <w:tcW w:w="1818" w:type="dxa"/>
          </w:tcPr>
          <w:p>
            <w:pPr>
              <w:pStyle w:val="TableBodyCompact"/>
            </w:pPr>
            <w:r>
              <w:t xml:space="preserve">Accountable business owner</w:t>
            </w:r>
          </w:p>
        </w:tc>
        <w:tc>
          <w:tcPr>
            <w:tcW w:w="2684" w:type="dxa"/>
          </w:tcPr>
          <w:p>
            <w:pPr>
              <w:pStyle w:val="TableBodyCompact"/>
            </w:pPr>
            <w:r>
              <w:t xml:space="preserve">Purpose, owner, data sources, acceptance criteria, basic evaluation, operating instructions</w:t>
            </w:r>
          </w:p>
        </w:tc>
        <w:tc>
          <w:tcPr>
            <w:tcW w:w="1583" w:type="dxa"/>
          </w:tcPr>
          <w:p>
            <w:pPr>
              <w:pStyle w:val="TableBodyCompact"/>
            </w:pPr>
            <w:r>
              <w:t xml:space="preserve">At material change and at least annually</w:t>
            </w:r>
          </w:p>
        </w:tc>
      </w:tr>
      <w:tr>
        <w:tc>
          <w:tcPr>
            <w:tcW w:w="883" w:type="dxa"/>
          </w:tcPr>
          <w:p>
            <w:pPr>
              <w:pStyle w:val="TableBodyCompact"/>
            </w:pPr>
            <w:r>
              <w:rPr>
                <w:b/>
              </w:rPr>
              <w:t xml:space="preserve">Tier 2 — consequential advisory</w:t>
            </w:r>
          </w:p>
        </w:tc>
        <w:tc>
          <w:tcPr>
            <w:tcW w:w="2752" w:type="dxa"/>
          </w:tcPr>
          <w:p>
            <w:pPr>
              <w:pStyle w:val="TableBodyCompact"/>
            </w:pPr>
            <w:r>
              <w:t xml:space="preserve">Influences a material workflow or uses sensitive/internal data, but a competent person remains the decision-maker and actor</w:t>
            </w:r>
          </w:p>
        </w:tc>
        <w:tc>
          <w:tcPr>
            <w:tcW w:w="1818" w:type="dxa"/>
          </w:tcPr>
          <w:p>
            <w:pPr>
              <w:pStyle w:val="TableBodyCompact"/>
            </w:pPr>
            <w:r>
              <w:t xml:space="preserve">Business owner, with assurance consultation</w:t>
            </w:r>
          </w:p>
        </w:tc>
        <w:tc>
          <w:tcPr>
            <w:tcW w:w="2684" w:type="dxa"/>
          </w:tcPr>
          <w:p>
            <w:pPr>
              <w:pStyle w:val="TableBodyCompact"/>
            </w:pPr>
            <w:r>
              <w:t xml:space="preserve">Tier 1 plus documented risk assessment, representative evaluation, data approval, human-review design, monitoring and rollback evidence</w:t>
            </w:r>
          </w:p>
        </w:tc>
        <w:tc>
          <w:tcPr>
            <w:tcW w:w="1583" w:type="dxa"/>
          </w:tcPr>
          <w:p>
            <w:pPr>
              <w:pStyle w:val="TableBodyCompact"/>
            </w:pPr>
            <w:r>
              <w:t xml:space="preserve">At material change and at least semi-annually</w:t>
            </w:r>
          </w:p>
        </w:tc>
      </w:tr>
      <w:tr>
        <w:tc>
          <w:tcPr>
            <w:tcW w:w="883" w:type="dxa"/>
          </w:tcPr>
          <w:p>
            <w:pPr>
              <w:pStyle w:val="TableBodyCompact"/>
            </w:pPr>
            <w:r>
              <w:rPr>
                <w:b/>
              </w:rPr>
              <w:t xml:space="preserve">Tier 3 — action-capable</w:t>
            </w:r>
          </w:p>
        </w:tc>
        <w:tc>
          <w:tcPr>
            <w:tcW w:w="2752" w:type="dxa"/>
          </w:tcPr>
          <w:p>
            <w:pPr>
              <w:pStyle w:val="TableBodyCompact"/>
            </w:pPr>
            <w:r>
              <w:t xml:space="preserve">Can change a system, communicate externally, commit resources, or call tools with material effect under bounded authority</w:t>
            </w:r>
          </w:p>
        </w:tc>
        <w:tc>
          <w:tcPr>
            <w:tcW w:w="1818" w:type="dxa"/>
          </w:tcPr>
          <w:p>
            <w:pPr>
              <w:pStyle w:val="TableBodyCompact"/>
            </w:pPr>
            <w:r>
              <w:t xml:space="preserve">Business owner and independent assurance owner</w:t>
            </w:r>
          </w:p>
        </w:tc>
        <w:tc>
          <w:tcPr>
            <w:tcW w:w="2684" w:type="dxa"/>
          </w:tcPr>
          <w:p>
            <w:pPr>
              <w:pStyle w:val="TableBodyCompact"/>
            </w:pPr>
            <w:r>
              <w:t xml:space="preserve">Tier 2 plus action-boundary tests, failure and abuse tests, approval-path evidence, kill-switch exercise, incident runbook and change controls</w:t>
            </w:r>
          </w:p>
        </w:tc>
        <w:tc>
          <w:tcPr>
            <w:tcW w:w="1583" w:type="dxa"/>
          </w:tcPr>
          <w:p>
            <w:pPr>
              <w:pStyle w:val="TableBodyCompact"/>
            </w:pPr>
            <w:r>
              <w:t xml:space="preserve">At material change and at least quarterly</w:t>
            </w:r>
          </w:p>
        </w:tc>
      </w:tr>
      <w:tr>
        <w:tc>
          <w:tcPr>
            <w:tcW w:w="883" w:type="dxa"/>
          </w:tcPr>
          <w:p>
            <w:pPr>
              <w:pStyle w:val="TableBodyCompact"/>
            </w:pPr>
            <w:r>
              <w:rPr>
                <w:b/>
              </w:rPr>
              <w:t xml:space="preserve">Tier 4 — high-impact or unresolved applicability</w:t>
            </w:r>
          </w:p>
        </w:tc>
        <w:tc>
          <w:tcPr>
            <w:tcW w:w="2752" w:type="dxa"/>
          </w:tcPr>
          <w:p>
            <w:pPr>
              <w:pStyle w:val="TableBodyCompact"/>
            </w:pPr>
            <w:r>
              <w:t xml:space="preserve">Can materially affect rights, safety, legal position, essential services or other impact above organizational tolerance; or regulatory applicability is unresolved</w:t>
            </w:r>
          </w:p>
        </w:tc>
        <w:tc>
          <w:tcPr>
            <w:tcW w:w="1818" w:type="dxa"/>
          </w:tcPr>
          <w:p>
            <w:pPr>
              <w:pStyle w:val="TableBodyCompact"/>
            </w:pPr>
            <w:r>
              <w:t xml:space="preserve">Governance authority and independent assurance owner, after recorded regulatory applicability determination</w:t>
            </w:r>
          </w:p>
        </w:tc>
        <w:tc>
          <w:tcPr>
            <w:tcW w:w="2684" w:type="dxa"/>
          </w:tcPr>
          <w:p>
            <w:pPr>
              <w:pStyle w:val="TableBodyCompact"/>
            </w:pPr>
            <w:r>
              <w:t xml:space="preserve">Tier 3 plus enhanced independent review, explicit residual-risk decision, regulatory applicability record, scenario exercise and governance-authority approval</w:t>
            </w:r>
          </w:p>
        </w:tc>
        <w:tc>
          <w:tcPr>
            <w:tcW w:w="1583" w:type="dxa"/>
          </w:tcPr>
          <w:p>
            <w:pPr>
              <w:pStyle w:val="TableBodyCompact"/>
            </w:pPr>
            <w:r>
              <w:t xml:space="preserve">At material change and at least quarterly; more often if the applicability record requires it</w:t>
            </w:r>
          </w:p>
        </w:tc>
      </w:tr>
    </w:tbl>
    <w:p>
      <w:pPr>
        <w:pStyle w:val="Heading3"/>
      </w:pPr>
      <w:r>
        <w:t xml:space="preserve">Tier assignment rules</w:t>
      </w:r>
    </w:p>
    <w:p>
      <w:pPr>
        <w:pStyle w:val="BodyText"/>
      </w:pPr>
      <w:r>
        <w:t xml:space="preserve">The product owner prepares an initial tier proposal. The business owner is accountable for the proposal, and independent assurance challenges Tier 2-4 classifications. The assigned tier is the highest tier triggered by the agent's data, users, decisions, actions, scale or failure impact.</w:t>
      </w:r>
    </w:p>
    <w:p>
      <w:pPr>
        <w:pStyle w:val="BodyText"/>
      </w:pPr>
      <w:r>
        <w:t xml:space="preserve">Escalate at least one tier, or record why escalation is unnecessary, when the agent:</w:t>
      </w:r>
    </w:p>
    <w:p>
      <w:pPr>
        <w:pStyle w:val="ListParagraph"/>
        <w:numPr>
          <w:ilvl w:val="0"/>
          <w:numId w:val="3"/>
        </w:numPr>
      </w:pPr>
      <w:r>
        <w:t xml:space="preserve">gains a new tool, action, data class, user population or external communication path;</w:t>
      </w:r>
    </w:p>
    <w:p>
      <w:pPr>
        <w:pStyle w:val="ListParagraph"/>
        <w:numPr>
          <w:ilvl w:val="0"/>
          <w:numId w:val="3"/>
        </w:numPr>
      </w:pPr>
      <w:r>
        <w:t xml:space="preserve">moves from recommendation to execution;</w:t>
      </w:r>
    </w:p>
    <w:p>
      <w:pPr>
        <w:pStyle w:val="ListParagraph"/>
        <w:numPr>
          <w:ilvl w:val="0"/>
          <w:numId w:val="3"/>
        </w:numPr>
      </w:pPr>
      <w:r>
        <w:t xml:space="preserve">removes or weakens human review;</w:t>
      </w:r>
    </w:p>
    <w:p>
      <w:pPr>
        <w:pStyle w:val="ListParagraph"/>
        <w:numPr>
          <w:ilvl w:val="0"/>
          <w:numId w:val="3"/>
        </w:numPr>
      </w:pPr>
      <w:r>
        <w:t xml:space="preserve">changes deployment context, model, memory behavior or operating scale in a way that could change impact;</w:t>
      </w:r>
    </w:p>
    <w:p>
      <w:pPr>
        <w:pStyle w:val="ListParagraph"/>
        <w:numPr>
          <w:ilvl w:val="0"/>
          <w:numId w:val="3"/>
        </w:numPr>
      </w:pPr>
      <w:r>
        <w:t xml:space="preserve">experiences a serious incident or repeated control failure; or</w:t>
      </w:r>
    </w:p>
    <w:p>
      <w:pPr>
        <w:pStyle w:val="ListParagraph"/>
        <w:numPr>
          <w:ilvl w:val="0"/>
          <w:numId w:val="3"/>
        </w:numPr>
      </w:pPr>
      <w:r>
        <w:t xml:space="preserve">reaches a use case for which regulatory applicability has not been determined.</w:t>
      </w:r>
    </w:p>
    <w:p>
      <w:pPr>
        <w:pStyle w:val="BodyText"/>
      </w:pPr>
      <w:r>
        <w:rPr>
          <w:b/>
        </w:rPr>
        <w:t xml:space="preserve">Open GOV4 dependency:</w:t>
      </w:r>
      <w:r>
        <w:t xml:space="preserve"> GOV4 must define the regulatory applicability assessment and the jurisdiction-specific triggers that can set a tier floor, require additional evidence or prohibit deployment. Until that record exists, unresolved applicability is Tier 4 and cannot be downgraded by the product or technical owner.</w:t>
      </w:r>
    </w:p>
    <w:p>
      <w:pPr>
        <w:pStyle w:val="Heading2"/>
      </w:pPr>
      <w:r>
        <w:t xml:space="preserve">5. Lifecycle gates</w:t>
      </w:r>
    </w:p>
    <w:p>
      <w:pPr>
        <w:pStyle w:val="BodyText"/>
      </w:pPr>
      <w:r>
        <w:t xml:space="preserve">NIST treats AI risk management as iterative across the lifecycle rather than a one-time approval. [G01] [G02] The eight gates below implement that concept as an Alpha AI recommended operating process. Every gate has a binary exit condition, a retained artifact and a role accountable for retention.</w:t>
      </w:r>
    </w:p>
    <w:tbl>
      <w:tblPr>
        <w:tblStyle w:val="ContentTable"/>
        <w:tblW w:w="9720" w:type="dxa"/>
        <w:tblLayout w:type="fixed"/>
        <w:tblLook w:val="04A0" w:firstRow="1" w:lastRow="0" w:firstColumn="0" w:lastColumn="0" w:noHBand="0" w:noVBand="1"/>
      </w:tblPr>
      <w:tblGrid>
        <w:gridCol w:w="864"/>
        <w:gridCol w:w="6171"/>
        <w:gridCol w:w="1878"/>
        <w:gridCol w:w="807"/>
      </w:tblGrid>
      <w:tr>
        <w:trPr>
          <w:tblHeader/>
        </w:trPr>
        <w:tc>
          <w:tcPr>
            <w:tcW w:w="864" w:type="dxa"/>
            <w:shd w:val="clear" w:color="auto" w:fill="F5F0E7"/>
          </w:tcPr>
          <w:p>
            <w:pPr>
              <w:pStyle w:val="TableHeader"/>
            </w:pPr>
            <w:r>
              <w:t xml:space="preserve">Gate</w:t>
            </w:r>
          </w:p>
        </w:tc>
        <w:tc>
          <w:tcPr>
            <w:tcW w:w="6171" w:type="dxa"/>
            <w:shd w:val="clear" w:color="auto" w:fill="F5F0E7"/>
          </w:tcPr>
          <w:p>
            <w:pPr>
              <w:pStyle w:val="TableHeader"/>
            </w:pPr>
            <w:r>
              <w:t xml:space="preserve">Testable exit condition</w:t>
            </w:r>
          </w:p>
        </w:tc>
        <w:tc>
          <w:tcPr>
            <w:tcW w:w="1878" w:type="dxa"/>
            <w:shd w:val="clear" w:color="auto" w:fill="F5F0E7"/>
          </w:tcPr>
          <w:p>
            <w:pPr>
              <w:pStyle w:val="TableHeader"/>
            </w:pPr>
            <w:r>
              <w:t xml:space="preserve">Named retained evidence</w:t>
            </w:r>
          </w:p>
        </w:tc>
        <w:tc>
          <w:tcPr>
            <w:tcW w:w="807" w:type="dxa"/>
            <w:shd w:val="clear" w:color="auto" w:fill="F5F0E7"/>
          </w:tcPr>
          <w:p>
            <w:pPr>
              <w:pStyle w:val="TableHeader"/>
            </w:pPr>
            <w:r>
              <w:t xml:space="preserve">Evidence retained by</w:t>
            </w:r>
          </w:p>
        </w:tc>
      </w:tr>
      <w:tr>
        <w:tc>
          <w:tcPr>
            <w:tcW w:w="864" w:type="dxa"/>
          </w:tcPr>
          <w:p>
            <w:pPr>
              <w:pStyle w:val="TableBody"/>
            </w:pPr>
            <w:r>
              <w:rPr>
                <w:b/>
              </w:rPr>
              <w:t xml:space="preserve">1. Intake</w:t>
            </w:r>
          </w:p>
        </w:tc>
        <w:tc>
          <w:tcPr>
            <w:tcW w:w="6171" w:type="dxa"/>
          </w:tcPr>
          <w:p>
            <w:pPr>
              <w:pStyle w:val="TableBody"/>
            </w:pPr>
            <w:r>
              <w:t xml:space="preserve">A business owner, product owner and intended outcome are named; prohibited purposes and a stop condition are recorded; initial tier is approved</w:t>
            </w:r>
          </w:p>
        </w:tc>
        <w:tc>
          <w:tcPr>
            <w:tcW w:w="1878" w:type="dxa"/>
          </w:tcPr>
          <w:p>
            <w:pPr>
              <w:pStyle w:val="TableBody"/>
            </w:pPr>
            <w:r>
              <w:rPr>
                <w:b/>
              </w:rPr>
              <w:t xml:space="preserve">Agent intake record</w:t>
            </w:r>
          </w:p>
        </w:tc>
        <w:tc>
          <w:tcPr>
            <w:tcW w:w="807" w:type="dxa"/>
          </w:tcPr>
          <w:p>
            <w:pPr>
              <w:pStyle w:val="TableBody"/>
            </w:pPr>
            <w:r>
              <w:t xml:space="preserve">Registry custodian</w:t>
            </w:r>
          </w:p>
        </w:tc>
      </w:tr>
      <w:tr>
        <w:tc>
          <w:tcPr>
            <w:tcW w:w="864" w:type="dxa"/>
          </w:tcPr>
          <w:p>
            <w:pPr>
              <w:pStyle w:val="TableBody"/>
            </w:pPr>
            <w:r>
              <w:rPr>
                <w:b/>
              </w:rPr>
              <w:t xml:space="preserve">2. Design</w:t>
            </w:r>
          </w:p>
        </w:tc>
        <w:tc>
          <w:tcPr>
            <w:tcW w:w="6171" w:type="dxa"/>
          </w:tcPr>
          <w:p>
            <w:pPr>
              <w:pStyle w:val="TableBody"/>
            </w:pPr>
            <w:r>
              <w:t xml:space="preserve">The deployment brief defines users, workflow, data, actions, human decisions, acceptance criteria, architecture boundary and open GOV4 dependency; required approvers sign the baseline</w:t>
            </w:r>
          </w:p>
        </w:tc>
        <w:tc>
          <w:tcPr>
            <w:tcW w:w="1878" w:type="dxa"/>
          </w:tcPr>
          <w:p>
            <w:pPr>
              <w:pStyle w:val="TableBody"/>
            </w:pPr>
            <w:r>
              <w:rPr>
                <w:b/>
              </w:rPr>
              <w:t xml:space="preserve">Approved deployment brief and risk-context record</w:t>
            </w:r>
          </w:p>
        </w:tc>
        <w:tc>
          <w:tcPr>
            <w:tcW w:w="807" w:type="dxa"/>
          </w:tcPr>
          <w:p>
            <w:pPr>
              <w:pStyle w:val="TableBody"/>
            </w:pPr>
            <w:r>
              <w:t xml:space="preserve">Agent product owner</w:t>
            </w:r>
          </w:p>
        </w:tc>
      </w:tr>
      <w:tr>
        <w:tc>
          <w:tcPr>
            <w:tcW w:w="864" w:type="dxa"/>
          </w:tcPr>
          <w:p>
            <w:pPr>
              <w:pStyle w:val="TableBody"/>
            </w:pPr>
            <w:r>
              <w:rPr>
                <w:b/>
              </w:rPr>
              <w:t xml:space="preserve">3. Build readiness</w:t>
            </w:r>
          </w:p>
        </w:tc>
        <w:tc>
          <w:tcPr>
            <w:tcW w:w="6171" w:type="dxa"/>
          </w:tcPr>
          <w:p>
            <w:pPr>
              <w:pStyle w:val="TableBody"/>
            </w:pPr>
            <w:r>
              <w:t xml:space="preserve">The technical owner shows that the versioned design is implementable in the client-approved environment and that every planned tool, model, data source and dependency has an owner and review path</w:t>
            </w:r>
          </w:p>
        </w:tc>
        <w:tc>
          <w:tcPr>
            <w:tcW w:w="1878" w:type="dxa"/>
          </w:tcPr>
          <w:p>
            <w:pPr>
              <w:pStyle w:val="TableBody"/>
            </w:pPr>
            <w:r>
              <w:rPr>
                <w:b/>
              </w:rPr>
              <w:t xml:space="preserve">Build-readiness record and version manifest</w:t>
            </w:r>
          </w:p>
        </w:tc>
        <w:tc>
          <w:tcPr>
            <w:tcW w:w="807" w:type="dxa"/>
          </w:tcPr>
          <w:p>
            <w:pPr>
              <w:pStyle w:val="TableBody"/>
            </w:pPr>
            <w:r>
              <w:t xml:space="preserve">Technical owner</w:t>
            </w:r>
          </w:p>
        </w:tc>
      </w:tr>
      <w:tr>
        <w:tc>
          <w:tcPr>
            <w:tcW w:w="864" w:type="dxa"/>
          </w:tcPr>
          <w:p>
            <w:pPr>
              <w:pStyle w:val="TableBody"/>
            </w:pPr>
            <w:r>
              <w:rPr>
                <w:b/>
              </w:rPr>
              <w:t xml:space="preserve">4. Validation</w:t>
            </w:r>
          </w:p>
        </w:tc>
        <w:tc>
          <w:tcPr>
            <w:tcW w:w="6171" w:type="dxa"/>
          </w:tcPr>
          <w:p>
            <w:pPr>
              <w:pStyle w:val="TableBody"/>
            </w:pPr>
            <w:r>
              <w:t xml:space="preserve">All tier-required evaluations and failure scenarios meet pre-agreed thresholds; unresolved failures are either closed or recorded as approved, unexpired exceptions</w:t>
            </w:r>
          </w:p>
        </w:tc>
        <w:tc>
          <w:tcPr>
            <w:tcW w:w="1878" w:type="dxa"/>
          </w:tcPr>
          <w:p>
            <w:pPr>
              <w:pStyle w:val="TableBody"/>
            </w:pPr>
            <w:r>
              <w:rPr>
                <w:b/>
              </w:rPr>
              <w:t xml:space="preserve">Validation report and findings register</w:t>
            </w:r>
          </w:p>
        </w:tc>
        <w:tc>
          <w:tcPr>
            <w:tcW w:w="807" w:type="dxa"/>
          </w:tcPr>
          <w:p>
            <w:pPr>
              <w:pStyle w:val="TableBody"/>
            </w:pPr>
            <w:r>
              <w:t xml:space="preserve">Independent assurance owner</w:t>
            </w:r>
          </w:p>
        </w:tc>
      </w:tr>
      <w:tr>
        <w:tc>
          <w:tcPr>
            <w:tcW w:w="864" w:type="dxa"/>
          </w:tcPr>
          <w:p>
            <w:pPr>
              <w:pStyle w:val="TableBody"/>
            </w:pPr>
            <w:r>
              <w:rPr>
                <w:b/>
              </w:rPr>
              <w:t xml:space="preserve">5. Production approval</w:t>
            </w:r>
          </w:p>
        </w:tc>
        <w:tc>
          <w:tcPr>
            <w:tcW w:w="6171" w:type="dxa"/>
          </w:tcPr>
          <w:p>
            <w:pPr>
              <w:pStyle w:val="TableBody"/>
            </w:pPr>
            <w:r>
              <w:t xml:space="preserve">The registry record is complete; Gates 1-4 are current; operations accepts the runbook and kill mechanism; required decision-makers for the tier sign the residual-risk decision</w:t>
            </w:r>
          </w:p>
        </w:tc>
        <w:tc>
          <w:tcPr>
            <w:tcW w:w="1878" w:type="dxa"/>
          </w:tcPr>
          <w:p>
            <w:pPr>
              <w:pStyle w:val="TableBody"/>
            </w:pPr>
            <w:r>
              <w:rPr>
                <w:b/>
              </w:rPr>
              <w:t xml:space="preserve">Production authorization record</w:t>
            </w:r>
          </w:p>
        </w:tc>
        <w:tc>
          <w:tcPr>
            <w:tcW w:w="807" w:type="dxa"/>
          </w:tcPr>
          <w:p>
            <w:pPr>
              <w:pStyle w:val="TableBody"/>
            </w:pPr>
            <w:r>
              <w:t xml:space="preserve">Registry custodian</w:t>
            </w:r>
          </w:p>
        </w:tc>
      </w:tr>
      <w:tr>
        <w:tc>
          <w:tcPr>
            <w:tcW w:w="864" w:type="dxa"/>
          </w:tcPr>
          <w:p>
            <w:pPr>
              <w:pStyle w:val="TableBody"/>
            </w:pPr>
            <w:r>
              <w:rPr>
                <w:b/>
              </w:rPr>
              <w:t xml:space="preserve">6. Operation and change</w:t>
            </w:r>
          </w:p>
        </w:tc>
        <w:tc>
          <w:tcPr>
            <w:tcW w:w="6171" w:type="dxa"/>
          </w:tcPr>
          <w:p>
            <w:pPr>
              <w:pStyle w:val="TableBody"/>
            </w:pPr>
            <w:r>
              <w:t xml:space="preserve">Monitoring, incidents, access reviews, evaluations, exceptions and material-change triggers are reviewed at the tier cadence; each material change is routed back to the earliest affected gate before release</w:t>
            </w:r>
          </w:p>
        </w:tc>
        <w:tc>
          <w:tcPr>
            <w:tcW w:w="1878" w:type="dxa"/>
          </w:tcPr>
          <w:p>
            <w:pPr>
              <w:pStyle w:val="TableBody"/>
            </w:pPr>
            <w:r>
              <w:rPr>
                <w:b/>
              </w:rPr>
              <w:t xml:space="preserve">Periodic governance review and change-classification record</w:t>
            </w:r>
          </w:p>
        </w:tc>
        <w:tc>
          <w:tcPr>
            <w:tcW w:w="807" w:type="dxa"/>
          </w:tcPr>
          <w:p>
            <w:pPr>
              <w:pStyle w:val="TableBody"/>
            </w:pPr>
            <w:r>
              <w:t xml:space="preserve">Operations owner</w:t>
            </w:r>
          </w:p>
        </w:tc>
      </w:tr>
      <w:tr>
        <w:tc>
          <w:tcPr>
            <w:tcW w:w="864" w:type="dxa"/>
          </w:tcPr>
          <w:p>
            <w:pPr>
              <w:pStyle w:val="TableBody"/>
            </w:pPr>
            <w:r>
              <w:rPr>
                <w:b/>
              </w:rPr>
              <w:t xml:space="preserve">7. Suspension and restart</w:t>
            </w:r>
          </w:p>
        </w:tc>
        <w:tc>
          <w:tcPr>
            <w:tcW w:w="6171" w:type="dxa"/>
          </w:tcPr>
          <w:p>
            <w:pPr>
              <w:pStyle w:val="TableBody"/>
            </w:pPr>
            <w:r>
              <w:t xml:space="preserve">A suspension trigger disables the agent or removes action authority; restart occurs only after containment, impact assessment, corrective action, re-validation and approval at the tier's production authority</w:t>
            </w:r>
          </w:p>
        </w:tc>
        <w:tc>
          <w:tcPr>
            <w:tcW w:w="1878" w:type="dxa"/>
          </w:tcPr>
          <w:p>
            <w:pPr>
              <w:pStyle w:val="TableBody"/>
            </w:pPr>
            <w:r>
              <w:rPr>
                <w:b/>
              </w:rPr>
              <w:t xml:space="preserve">Suspension, incident and restart authorization record</w:t>
            </w:r>
          </w:p>
        </w:tc>
        <w:tc>
          <w:tcPr>
            <w:tcW w:w="807" w:type="dxa"/>
          </w:tcPr>
          <w:p>
            <w:pPr>
              <w:pStyle w:val="TableBody"/>
            </w:pPr>
            <w:r>
              <w:t xml:space="preserve">Operations owner</w:t>
            </w:r>
          </w:p>
        </w:tc>
      </w:tr>
      <w:tr>
        <w:tc>
          <w:tcPr>
            <w:tcW w:w="864" w:type="dxa"/>
          </w:tcPr>
          <w:p>
            <w:pPr>
              <w:pStyle w:val="TableBody"/>
            </w:pPr>
            <w:r>
              <w:rPr>
                <w:b/>
              </w:rPr>
              <w:t xml:space="preserve">8. Retirement</w:t>
            </w:r>
          </w:p>
        </w:tc>
        <w:tc>
          <w:tcPr>
            <w:tcW w:w="6171" w:type="dxa"/>
          </w:tcPr>
          <w:p>
            <w:pPr>
              <w:pStyle w:val="TableBody"/>
            </w:pPr>
            <w:r>
              <w:t xml:space="preserve">Action authority and access are revoked; deployments and scheduled work are stopped; retained data and evidence are disposed of or archived under approved rules; dependencies and users are notified</w:t>
            </w:r>
          </w:p>
        </w:tc>
        <w:tc>
          <w:tcPr>
            <w:tcW w:w="1878" w:type="dxa"/>
          </w:tcPr>
          <w:p>
            <w:pPr>
              <w:pStyle w:val="TableBody"/>
            </w:pPr>
            <w:r>
              <w:rPr>
                <w:b/>
              </w:rPr>
              <w:t xml:space="preserve">Retirement attestation and archived registry record</w:t>
            </w:r>
          </w:p>
        </w:tc>
        <w:tc>
          <w:tcPr>
            <w:tcW w:w="807" w:type="dxa"/>
          </w:tcPr>
          <w:p>
            <w:pPr>
              <w:pStyle w:val="TableBody"/>
            </w:pPr>
            <w:r>
              <w:t xml:space="preserve">Registry custodian</w:t>
            </w:r>
          </w:p>
        </w:tc>
      </w:tr>
    </w:tbl>
    <w:p>
      <w:pPr>
        <w:pStyle w:val="Heading3"/>
      </w:pPr>
      <w:r>
        <w:t xml:space="preserve">Material-change rule</w:t>
      </w:r>
    </w:p>
    <w:p>
      <w:pPr>
        <w:pStyle w:val="BodyText"/>
      </w:pPr>
      <w:r>
        <w:t xml:space="preserve">A change is material when it could alter purpose, users, affected parties, data, decision rights, action scope, risk tier, acceptance criteria or the evidence supporting an approval. The product owner records the classification and routes a material change to the earliest gate whose evidence is no longer valid. Independent assurance may override a non-material classification for Tier 2-4.</w:t>
      </w:r>
    </w:p>
    <w:p>
      <w:pPr>
        <w:pStyle w:val="Heading2"/>
      </w:pPr>
      <w:r>
        <w:t xml:space="preserve">6. Agent and model registry</w:t>
      </w:r>
    </w:p>
    <w:p>
      <w:pPr>
        <w:pStyle w:val="BodyText"/>
      </w:pPr>
      <w:r>
        <w:t xml:space="preserve">The registry is the authoritative governance record, not necessarily the runtime's technical inventory. NIST describes documentation as supporting transparency, human review and accountability, and its GOVERN function includes processes and organizational schemes across the lifecycle. [G02]</w:t>
      </w:r>
    </w:p>
    <w:p>
      <w:pPr>
        <w:pStyle w:val="Heading3"/>
      </w:pPr>
      <w:r>
        <w:t xml:space="preserve">Minimum record</w:t>
      </w:r>
    </w:p>
    <w:p>
      <w:pPr>
        <w:pStyle w:val="BodyText"/>
      </w:pPr>
      <w:r>
        <w:t xml:space="preserve">Each production agent record contains:</w:t>
      </w:r>
    </w:p>
    <w:p>
      <w:pPr>
        <w:pStyle w:val="ListParagraph"/>
        <w:numPr>
          <w:ilvl w:val="0"/>
          <w:numId w:val="4"/>
        </w:numPr>
      </w:pPr>
      <w:r>
        <w:t xml:space="preserve">stable agent ID, name, status and environment;</w:t>
      </w:r>
    </w:p>
    <w:p>
      <w:pPr>
        <w:pStyle w:val="ListParagraph"/>
        <w:numPr>
          <w:ilvl w:val="0"/>
          <w:numId w:val="4"/>
        </w:numPr>
      </w:pPr>
      <w:r>
        <w:t xml:space="preserve">intended purpose, prohibited purposes and business workflow;</w:t>
      </w:r>
    </w:p>
    <w:p>
      <w:pPr>
        <w:pStyle w:val="ListParagraph"/>
        <w:numPr>
          <w:ilvl w:val="0"/>
          <w:numId w:val="4"/>
        </w:numPr>
      </w:pPr>
      <w:r>
        <w:t xml:space="preserve">accountable business owner, product owner, technical owner, operations owner, assurance owner, data owner and regulatory applicability owner;</w:t>
      </w:r>
    </w:p>
    <w:p>
      <w:pPr>
        <w:pStyle w:val="ListParagraph"/>
        <w:numPr>
          <w:ilvl w:val="0"/>
          <w:numId w:val="4"/>
        </w:numPr>
      </w:pPr>
      <w:r>
        <w:t xml:space="preserve">risk tier, rationale, assignment date and next review date;</w:t>
      </w:r>
    </w:p>
    <w:p>
      <w:pPr>
        <w:pStyle w:val="ListParagraph"/>
        <w:numPr>
          <w:ilvl w:val="0"/>
          <w:numId w:val="4"/>
        </w:numPr>
      </w:pPr>
      <w:r>
        <w:t xml:space="preserve">affected users or parties and human-decision points;</w:t>
      </w:r>
    </w:p>
    <w:p>
      <w:pPr>
        <w:pStyle w:val="ListParagraph"/>
        <w:numPr>
          <w:ilvl w:val="0"/>
          <w:numId w:val="4"/>
        </w:numPr>
      </w:pPr>
      <w:r>
        <w:t xml:space="preserve">data classes, sources, memory/persistence description and approved retention reference;</w:t>
      </w:r>
    </w:p>
    <w:p>
      <w:pPr>
        <w:pStyle w:val="ListParagraph"/>
        <w:numPr>
          <w:ilvl w:val="0"/>
          <w:numId w:val="4"/>
        </w:numPr>
      </w:pPr>
      <w:r>
        <w:t xml:space="preserve">model, prompt, tool, runtime and dependency version references;</w:t>
      </w:r>
    </w:p>
    <w:p>
      <w:pPr>
        <w:pStyle w:val="ListParagraph"/>
        <w:numPr>
          <w:ilvl w:val="0"/>
          <w:numId w:val="4"/>
        </w:numPr>
      </w:pPr>
      <w:r>
        <w:t xml:space="preserve">action boundary, approval boundary, stop conditions and kill-mechanism owner;</w:t>
      </w:r>
    </w:p>
    <w:p>
      <w:pPr>
        <w:pStyle w:val="ListParagraph"/>
        <w:numPr>
          <w:ilvl w:val="0"/>
          <w:numId w:val="4"/>
        </w:numPr>
      </w:pPr>
      <w:r>
        <w:t xml:space="preserve">acceptance criteria and links to current validation evidence;</w:t>
      </w:r>
    </w:p>
    <w:p>
      <w:pPr>
        <w:pStyle w:val="ListParagraph"/>
        <w:numPr>
          <w:ilvl w:val="0"/>
          <w:numId w:val="4"/>
        </w:numPr>
      </w:pPr>
      <w:r>
        <w:t xml:space="preserve">lifecycle gate status, approvals and evidence links;</w:t>
      </w:r>
    </w:p>
    <w:p>
      <w:pPr>
        <w:pStyle w:val="ListParagraph"/>
        <w:numPr>
          <w:ilvl w:val="0"/>
          <w:numId w:val="4"/>
        </w:numPr>
      </w:pPr>
      <w:r>
        <w:t xml:space="preserve">open findings, exceptions, expiry dates and compensating measures;</w:t>
      </w:r>
    </w:p>
    <w:p>
      <w:pPr>
        <w:pStyle w:val="ListParagraph"/>
        <w:numPr>
          <w:ilvl w:val="0"/>
          <w:numId w:val="4"/>
        </w:numPr>
      </w:pPr>
      <w:r>
        <w:t xml:space="preserve">incidents, material changes and last periodic review;</w:t>
      </w:r>
    </w:p>
    <w:p>
      <w:pPr>
        <w:pStyle w:val="ListParagraph"/>
        <w:numPr>
          <w:ilvl w:val="0"/>
          <w:numId w:val="4"/>
        </w:numPr>
      </w:pPr>
      <w:r>
        <w:t xml:space="preserve">regulatory applicability status and GOV4 mapping link;</w:t>
      </w:r>
    </w:p>
    <w:p>
      <w:pPr>
        <w:pStyle w:val="ListParagraph"/>
        <w:numPr>
          <w:ilvl w:val="0"/>
          <w:numId w:val="4"/>
        </w:numPr>
      </w:pPr>
      <w:r>
        <w:t xml:space="preserve">suspension, restart and retirement state.</w:t>
      </w:r>
    </w:p>
    <w:p>
      <w:pPr>
        <w:pStyle w:val="BodyText"/>
      </w:pPr>
      <w:r>
        <w:t xml:space="preserve">The model record may be separate, but the agent record must resolve to the exact approved model and configuration version. A shared model does not replace an agent record because the agent's purpose, tools, data and decision rights can differ.</w:t>
      </w:r>
    </w:p>
    <w:p>
      <w:pPr>
        <w:pStyle w:val="Heading3"/>
      </w:pPr>
      <w:r>
        <w:t xml:space="preserve">Attestation and record quality</w:t>
      </w:r>
    </w:p>
    <w:p>
      <w:pPr>
        <w:pStyle w:val="BodyText"/>
      </w:pPr>
      <w:r>
        <w:t xml:space="preserve">At each scheduled review, the business owner attests continued need and ownership; the product owner attests record accuracy; operations attests current operating evidence; and assurance records unresolved findings. Missing ownership, an expired approval or an overdue Tier 3-4 review blocks new material changes and triggers a suspension decision.</w:t>
      </w:r>
    </w:p>
    <w:p>
      <w:pPr>
        <w:pStyle w:val="Heading2"/>
      </w:pPr>
      <w:r>
        <w:t xml:space="preserve">7. Exceptions and risk acceptance</w:t>
      </w:r>
    </w:p>
    <w:p>
      <w:pPr>
        <w:pStyle w:val="BodyText"/>
      </w:pPr>
      <w:r>
        <w:t xml:space="preserve">An exception does not silently change a gate. It temporarily records why a requirement cannot be met and how exposure is constrained.</w:t>
      </w:r>
    </w:p>
    <w:p>
      <w:pPr>
        <w:pStyle w:val="BodyText"/>
      </w:pPr>
      <w:r>
        <w:t xml:space="preserve">Every exception record includes:</w:t>
      </w:r>
    </w:p>
    <w:p>
      <w:pPr>
        <w:pStyle w:val="ListParagraph"/>
        <w:numPr>
          <w:ilvl w:val="0"/>
          <w:numId w:val="5"/>
        </w:numPr>
      </w:pPr>
      <w:r>
        <w:t xml:space="preserve">agent ID, tier, affected requirement and reason;</w:t>
      </w:r>
    </w:p>
    <w:p>
      <w:pPr>
        <w:pStyle w:val="ListParagraph"/>
        <w:numPr>
          <w:ilvl w:val="0"/>
          <w:numId w:val="5"/>
        </w:numPr>
      </w:pPr>
      <w:r>
        <w:t xml:space="preserve">impact and time-bounded risk statement;</w:t>
      </w:r>
    </w:p>
    <w:p>
      <w:pPr>
        <w:pStyle w:val="ListParagraph"/>
        <w:numPr>
          <w:ilvl w:val="0"/>
          <w:numId w:val="5"/>
        </w:numPr>
      </w:pPr>
      <w:r>
        <w:t xml:space="preserve">compensating measures and their evidence;</w:t>
      </w:r>
    </w:p>
    <w:p>
      <w:pPr>
        <w:pStyle w:val="ListParagraph"/>
        <w:numPr>
          <w:ilvl w:val="0"/>
          <w:numId w:val="5"/>
        </w:numPr>
      </w:pPr>
      <w:r>
        <w:t xml:space="preserve">accountable owner and approving authority;</w:t>
      </w:r>
    </w:p>
    <w:p>
      <w:pPr>
        <w:pStyle w:val="ListParagraph"/>
        <w:numPr>
          <w:ilvl w:val="0"/>
          <w:numId w:val="5"/>
        </w:numPr>
      </w:pPr>
      <w:r>
        <w:t xml:space="preserve">start date, expiry date and closure test;</w:t>
      </w:r>
    </w:p>
    <w:p>
      <w:pPr>
        <w:pStyle w:val="ListParagraph"/>
        <w:numPr>
          <w:ilvl w:val="0"/>
          <w:numId w:val="5"/>
        </w:numPr>
      </w:pPr>
      <w:r>
        <w:t xml:space="preserve">monitoring trigger and immediate suspension condition;</w:t>
      </w:r>
    </w:p>
    <w:p>
      <w:pPr>
        <w:pStyle w:val="ListParagraph"/>
        <w:numPr>
          <w:ilvl w:val="0"/>
          <w:numId w:val="5"/>
        </w:numPr>
      </w:pPr>
      <w:r>
        <w:t xml:space="preserve">related incident, change and regulatory applicability records.</w:t>
      </w:r>
    </w:p>
    <w:p>
      <w:pPr>
        <w:pStyle w:val="BodyText"/>
      </w:pPr>
      <w:r>
        <w:t xml:space="preserve">The approving authority is the same authority required for production at that tier, except Tier 4 and expired exceptions always require the governance authority. An exception cannot waive an applicable law; GOV4 determines the applicability interface. On expiry, the agent is suspended unless the requirement is met or a new exception is approved using current evidence.</w:t>
      </w:r>
    </w:p>
    <w:p>
      <w:pPr>
        <w:pStyle w:val="Heading2"/>
      </w:pPr>
      <w:r>
        <w:t xml:space="preserve">8. Management reporting and evidence handoffs</w:t>
      </w:r>
    </w:p>
    <w:p>
      <w:pPr>
        <w:pStyle w:val="BodyText"/>
      </w:pPr>
      <w:r>
        <w:t xml:space="preserve">The OECD Principles frame accountability across the AI lifecycle, while NIST describes MANAGE as regular prioritization, treatment, monitoring and improvement based on mapped and measured risk. [G02] [G06] GOV1 therefore defines the management questions and handoffs, while GOV5 defines the report and GOV6 defines the audit evidence pack.</w:t>
      </w:r>
    </w:p>
    <w:p>
      <w:pPr>
        <w:pStyle w:val="BodyText"/>
      </w:pPr>
      <w:r>
        <w:t xml:space="preserve">The governance authority receives, at least quarterly:</w:t>
      </w:r>
    </w:p>
    <w:p>
      <w:pPr>
        <w:pStyle w:val="ListParagraph"/>
        <w:numPr>
          <w:ilvl w:val="0"/>
          <w:numId w:val="6"/>
        </w:numPr>
      </w:pPr>
      <w:r>
        <w:t xml:space="preserve">active agents by tier, owner, status and overdue review;</w:t>
      </w:r>
    </w:p>
    <w:p>
      <w:pPr>
        <w:pStyle w:val="ListParagraph"/>
        <w:numPr>
          <w:ilvl w:val="0"/>
          <w:numId w:val="6"/>
        </w:numPr>
      </w:pPr>
      <w:r>
        <w:t xml:space="preserve">gate approvals, suspensions, restarts and retirements;</w:t>
      </w:r>
    </w:p>
    <w:p>
      <w:pPr>
        <w:pStyle w:val="ListParagraph"/>
        <w:numPr>
          <w:ilvl w:val="0"/>
          <w:numId w:val="6"/>
        </w:numPr>
      </w:pPr>
      <w:r>
        <w:t xml:space="preserve">material changes and tier changes;</w:t>
      </w:r>
    </w:p>
    <w:p>
      <w:pPr>
        <w:pStyle w:val="ListParagraph"/>
        <w:numPr>
          <w:ilvl w:val="0"/>
          <w:numId w:val="6"/>
        </w:numPr>
      </w:pPr>
      <w:r>
        <w:t xml:space="preserve">open findings and exceptions by age and expiry;</w:t>
      </w:r>
    </w:p>
    <w:p>
      <w:pPr>
        <w:pStyle w:val="ListParagraph"/>
        <w:numPr>
          <w:ilvl w:val="0"/>
          <w:numId w:val="6"/>
        </w:numPr>
      </w:pPr>
      <w:r>
        <w:t xml:space="preserve">incidents, repeated failures and overdue corrective actions;</w:t>
      </w:r>
    </w:p>
    <w:p>
      <w:pPr>
        <w:pStyle w:val="ListParagraph"/>
        <w:numPr>
          <w:ilvl w:val="0"/>
          <w:numId w:val="6"/>
        </w:numPr>
      </w:pPr>
      <w:r>
        <w:t xml:space="preserve">unresolved regulatory applicability determinations;</w:t>
      </w:r>
    </w:p>
    <w:p>
      <w:pPr>
        <w:pStyle w:val="ListParagraph"/>
        <w:numPr>
          <w:ilvl w:val="0"/>
          <w:numId w:val="6"/>
        </w:numPr>
      </w:pPr>
      <w:r>
        <w:t xml:space="preserve">missing or failed evidence collection;</w:t>
      </w:r>
    </w:p>
    <w:p>
      <w:pPr>
        <w:pStyle w:val="ListParagraph"/>
        <w:numPr>
          <w:ilvl w:val="0"/>
          <w:numId w:val="6"/>
        </w:numPr>
      </w:pPr>
      <w:r>
        <w:t xml:space="preserve">decisions required and named accountable owners.</w:t>
      </w:r>
    </w:p>
    <w:p>
      <w:pPr>
        <w:pStyle w:val="BodyText"/>
      </w:pPr>
      <w:r>
        <w:t xml:space="preserve">Handoffs to later deliverables:</w:t>
      </w:r>
    </w:p>
    <w:tbl>
      <w:tblPr>
        <w:tblStyle w:val="ContentTable"/>
        <w:tblW w:w="9720" w:type="dxa"/>
        <w:tblLayout w:type="fixed"/>
        <w:tblLook w:val="04A0" w:firstRow="1" w:lastRow="0" w:firstColumn="0" w:lastColumn="0" w:noHBand="0" w:noVBand="1"/>
      </w:tblPr>
      <w:tblGrid>
        <w:gridCol w:w="4231"/>
        <w:gridCol w:w="5489"/>
      </w:tblGrid>
      <w:tr>
        <w:trPr>
          <w:tblHeader/>
        </w:trPr>
        <w:tc>
          <w:tcPr>
            <w:tcW w:w="4231" w:type="dxa"/>
            <w:shd w:val="clear" w:color="auto" w:fill="F5F0E7"/>
          </w:tcPr>
          <w:p>
            <w:pPr>
              <w:pStyle w:val="TableHeader"/>
            </w:pPr>
            <w:r>
              <w:t xml:space="preserve">GOV1 output</w:t>
            </w:r>
          </w:p>
        </w:tc>
        <w:tc>
          <w:tcPr>
            <w:tcW w:w="5489" w:type="dxa"/>
            <w:shd w:val="clear" w:color="auto" w:fill="F5F0E7"/>
          </w:tcPr>
          <w:p>
            <w:pPr>
              <w:pStyle w:val="TableHeader"/>
            </w:pPr>
            <w:r>
              <w:t xml:space="preserve">Consumer</w:t>
            </w:r>
          </w:p>
        </w:tc>
      </w:tr>
      <w:tr>
        <w:tc>
          <w:tcPr>
            <w:tcW w:w="4231" w:type="dxa"/>
          </w:tcPr>
          <w:p>
            <w:pPr>
              <w:pStyle w:val="TableBody"/>
            </w:pPr>
            <w:r>
              <w:t xml:space="preserve">Tier, owner and review cadence</w:t>
            </w:r>
          </w:p>
        </w:tc>
        <w:tc>
          <w:tcPr>
            <w:tcW w:w="5489" w:type="dxa"/>
          </w:tcPr>
          <w:p>
            <w:pPr>
              <w:pStyle w:val="TableBody"/>
            </w:pPr>
            <w:r>
              <w:t xml:space="preserve">GOV3 control checklist; GOV4 regulatory mapping</w:t>
            </w:r>
          </w:p>
        </w:tc>
      </w:tr>
      <w:tr>
        <w:tc>
          <w:tcPr>
            <w:tcW w:w="4231" w:type="dxa"/>
          </w:tcPr>
          <w:p>
            <w:pPr>
              <w:pStyle w:val="TableBody"/>
            </w:pPr>
            <w:r>
              <w:t xml:space="preserve">Gate and evidence names</w:t>
            </w:r>
          </w:p>
        </w:tc>
        <w:tc>
          <w:tcPr>
            <w:tcW w:w="5489" w:type="dxa"/>
          </w:tcPr>
          <w:p>
            <w:pPr>
              <w:pStyle w:val="TableBody"/>
            </w:pPr>
            <w:r>
              <w:t xml:space="preserve">GOV3 control checklist; GOV6 audit evidence pack</w:t>
            </w:r>
          </w:p>
        </w:tc>
      </w:tr>
      <w:tr>
        <w:tc>
          <w:tcPr>
            <w:tcW w:w="4231" w:type="dxa"/>
          </w:tcPr>
          <w:p>
            <w:pPr>
              <w:pStyle w:val="TableBody"/>
            </w:pPr>
            <w:r>
              <w:t xml:space="preserve">Regulatory applicability status</w:t>
            </w:r>
          </w:p>
        </w:tc>
        <w:tc>
          <w:tcPr>
            <w:tcW w:w="5489" w:type="dxa"/>
          </w:tcPr>
          <w:p>
            <w:pPr>
              <w:pStyle w:val="TableBody"/>
            </w:pPr>
            <w:r>
              <w:t xml:space="preserve">GOV4 regulatory mapping</w:t>
            </w:r>
          </w:p>
        </w:tc>
      </w:tr>
      <w:tr>
        <w:tc>
          <w:tcPr>
            <w:tcW w:w="4231" w:type="dxa"/>
          </w:tcPr>
          <w:p>
            <w:pPr>
              <w:pStyle w:val="TableBody"/>
            </w:pPr>
            <w:r>
              <w:t xml:space="preserve">Management questions and decision log</w:t>
            </w:r>
          </w:p>
        </w:tc>
        <w:tc>
          <w:tcPr>
            <w:tcW w:w="5489" w:type="dxa"/>
          </w:tcPr>
          <w:p>
            <w:pPr>
              <w:pStyle w:val="TableBody"/>
            </w:pPr>
            <w:r>
              <w:t xml:space="preserve">GOV5 compliance reporting framework</w:t>
            </w:r>
          </w:p>
        </w:tc>
      </w:tr>
      <w:tr>
        <w:tc>
          <w:tcPr>
            <w:tcW w:w="4231" w:type="dxa"/>
          </w:tcPr>
          <w:p>
            <w:pPr>
              <w:pStyle w:val="TableBody"/>
            </w:pPr>
            <w:r>
              <w:t xml:space="preserve">Registry schema and evidence links</w:t>
            </w:r>
          </w:p>
        </w:tc>
        <w:tc>
          <w:tcPr>
            <w:tcW w:w="5489" w:type="dxa"/>
          </w:tcPr>
          <w:p>
            <w:pPr>
              <w:pStyle w:val="TableBody"/>
            </w:pPr>
            <w:r>
              <w:t xml:space="preserve">GOV6 audit evidence pack</w:t>
            </w:r>
          </w:p>
        </w:tc>
      </w:tr>
    </w:tbl>
    <w:p>
      <w:pPr>
        <w:pStyle w:val="Heading2"/>
      </w:pPr>
      <w:r>
        <w:t xml:space="preserve">9. FDE adoption sequence</w:t>
      </w:r>
    </w:p>
    <w:p>
      <w:pPr>
        <w:pStyle w:val="ListParagraph"/>
        <w:numPr>
          <w:ilvl w:val="0"/>
          <w:numId w:val="7"/>
        </w:numPr>
      </w:pPr>
      <w:r>
        <w:t xml:space="preserve">Map client titles and committees to the functional roles; record conflicts.</w:t>
      </w:r>
    </w:p>
    <w:p>
      <w:pPr>
        <w:pStyle w:val="ListParagraph"/>
        <w:numPr>
          <w:ilvl w:val="0"/>
          <w:numId w:val="7"/>
        </w:numPr>
      </w:pPr>
      <w:r>
        <w:t xml:space="preserve">Agree tier thresholds, risk appetite and delegated approval limits.</w:t>
      </w:r>
    </w:p>
    <w:p>
      <w:pPr>
        <w:pStyle w:val="ListParagraph"/>
        <w:numPr>
          <w:ilvl w:val="0"/>
          <w:numId w:val="7"/>
        </w:numPr>
      </w:pPr>
      <w:r>
        <w:t xml:space="preserve">Configure the registry schema and migrate known production agents.</w:t>
      </w:r>
    </w:p>
    <w:p>
      <w:pPr>
        <w:pStyle w:val="ListParagraph"/>
        <w:numPr>
          <w:ilvl w:val="0"/>
          <w:numId w:val="7"/>
        </w:numPr>
      </w:pPr>
      <w:r>
        <w:t xml:space="preserve">Select one representative agent in each active tier and reconstruct its gate evidence.</w:t>
      </w:r>
    </w:p>
    <w:p>
      <w:pPr>
        <w:pStyle w:val="ListParagraph"/>
        <w:numPr>
          <w:ilvl w:val="0"/>
          <w:numId w:val="7"/>
        </w:numPr>
      </w:pPr>
      <w:r>
        <w:t xml:space="preserve">Test suspension, restart, exception expiry and material-change routing.</w:t>
      </w:r>
    </w:p>
    <w:p>
      <w:pPr>
        <w:pStyle w:val="ListParagraph"/>
        <w:numPr>
          <w:ilvl w:val="0"/>
          <w:numId w:val="7"/>
        </w:numPr>
      </w:pPr>
      <w:r>
        <w:t xml:space="preserve">Assign the GOV4 regulatory applicability owner and open unresolved determinations.</w:t>
      </w:r>
    </w:p>
    <w:p>
      <w:pPr>
        <w:pStyle w:val="ListParagraph"/>
        <w:numPr>
          <w:ilvl w:val="0"/>
          <w:numId w:val="7"/>
        </w:numPr>
      </w:pPr>
      <w:r>
        <w:t xml:space="preserve">Start the tier-based review cadence and management decision log.</w:t>
      </w:r>
    </w:p>
    <w:p>
      <w:pPr>
        <w:pStyle w:val="ListParagraph"/>
        <w:numPr>
          <w:ilvl w:val="0"/>
          <w:numId w:val="7"/>
        </w:numPr>
      </w:pPr>
      <w:r>
        <w:t xml:space="preserve">Transfer registry administration, evidence ownership and gate operation to the client.</w:t>
      </w:r>
    </w:p>
    <w:p>
      <w:pPr>
        <w:pStyle w:val="Heading2"/>
      </w:pPr>
      <w:r>
        <w:t xml:space="preserve">10. Reusable checklists</w:t>
      </w:r>
    </w:p>
    <w:p>
      <w:pPr>
        <w:pStyle w:val="Heading3"/>
      </w:pPr>
      <w:r>
        <w:t xml:space="preserve">Governance setup</w:t>
      </w:r>
    </w:p>
    <w:p>
      <w:pPr>
        <w:pStyle w:val="ListParagraph"/>
        <w:numPr>
          <w:ilvl w:val="0"/>
          <w:numId w:val="8"/>
        </w:numPr>
      </w:pPr>
      <w:r>
        <w:t xml:space="preserve">[ ] Functional roles have named people and delegated authority.</w:t>
      </w:r>
    </w:p>
    <w:p>
      <w:pPr>
        <w:pStyle w:val="ListParagraph"/>
        <w:numPr>
          <w:ilvl w:val="0"/>
          <w:numId w:val="8"/>
        </w:numPr>
      </w:pPr>
      <w:r>
        <w:t xml:space="preserve">[ ] Conflicts and required separation of duties are recorded.</w:t>
      </w:r>
    </w:p>
    <w:p>
      <w:pPr>
        <w:pStyle w:val="ListParagraph"/>
        <w:numPr>
          <w:ilvl w:val="0"/>
          <w:numId w:val="8"/>
        </w:numPr>
      </w:pPr>
      <w:r>
        <w:t xml:space="preserve">[ ] Tier definitions, thresholds and review cadence are approved.</w:t>
      </w:r>
    </w:p>
    <w:p>
      <w:pPr>
        <w:pStyle w:val="ListParagraph"/>
        <w:numPr>
          <w:ilvl w:val="0"/>
          <w:numId w:val="8"/>
        </w:numPr>
      </w:pPr>
      <w:r>
        <w:t xml:space="preserve">[ ] Registry custodian and authoritative system are named.</w:t>
      </w:r>
    </w:p>
    <w:p>
      <w:pPr>
        <w:pStyle w:val="ListParagraph"/>
        <w:numPr>
          <w:ilvl w:val="0"/>
          <w:numId w:val="8"/>
        </w:numPr>
      </w:pPr>
      <w:r>
        <w:t xml:space="preserve">[ ] Regulatory applicability owner and GOV4 dependency are named.</w:t>
      </w:r>
    </w:p>
    <w:p>
      <w:pPr>
        <w:pStyle w:val="ListParagraph"/>
        <w:numPr>
          <w:ilvl w:val="0"/>
          <w:numId w:val="8"/>
        </w:numPr>
      </w:pPr>
      <w:r>
        <w:t xml:space="preserve">[ ] Emergency suspension and restart authority are documented.</w:t>
      </w:r>
    </w:p>
    <w:p>
      <w:pPr>
        <w:pStyle w:val="ListParagraph"/>
        <w:numPr>
          <w:ilvl w:val="0"/>
          <w:numId w:val="8"/>
        </w:numPr>
      </w:pPr>
      <w:r>
        <w:t xml:space="preserve">[ ] Exception expiry produces an enforceable action.</w:t>
      </w:r>
    </w:p>
    <w:p>
      <w:pPr>
        <w:pStyle w:val="Heading3"/>
      </w:pPr>
      <w:r>
        <w:t xml:space="preserve">Gate decision record</w:t>
      </w:r>
    </w:p>
    <w:p>
      <w:pPr>
        <w:pStyle w:val="ListParagraph"/>
        <w:numPr>
          <w:ilvl w:val="0"/>
          <w:numId w:val="9"/>
        </w:numPr>
      </w:pPr>
      <w:r>
        <w:t xml:space="preserve">[ ] Agent ID, version, environment and tier</w:t>
      </w:r>
    </w:p>
    <w:p>
      <w:pPr>
        <w:pStyle w:val="ListParagraph"/>
        <w:numPr>
          <w:ilvl w:val="0"/>
          <w:numId w:val="9"/>
        </w:numPr>
      </w:pPr>
      <w:r>
        <w:t xml:space="preserve">[ ] Gate and decision date</w:t>
      </w:r>
    </w:p>
    <w:p>
      <w:pPr>
        <w:pStyle w:val="ListParagraph"/>
        <w:numPr>
          <w:ilvl w:val="0"/>
          <w:numId w:val="9"/>
        </w:numPr>
      </w:pPr>
      <w:r>
        <w:t xml:space="preserve">[ ] Exit condition result</w:t>
      </w:r>
    </w:p>
    <w:p>
      <w:pPr>
        <w:pStyle w:val="ListParagraph"/>
        <w:numPr>
          <w:ilvl w:val="0"/>
          <w:numId w:val="9"/>
        </w:numPr>
      </w:pPr>
      <w:r>
        <w:t xml:space="preserve">[ ] Evidence artifact links and versions</w:t>
      </w:r>
    </w:p>
    <w:p>
      <w:pPr>
        <w:pStyle w:val="ListParagraph"/>
        <w:numPr>
          <w:ilvl w:val="0"/>
          <w:numId w:val="9"/>
        </w:numPr>
      </w:pPr>
      <w:r>
        <w:t xml:space="preserve">[ ] Open findings and exception links</w:t>
      </w:r>
    </w:p>
    <w:p>
      <w:pPr>
        <w:pStyle w:val="ListParagraph"/>
        <w:numPr>
          <w:ilvl w:val="0"/>
          <w:numId w:val="9"/>
        </w:numPr>
      </w:pPr>
      <w:r>
        <w:t xml:space="preserve">[ ] Decision: pass or fail</w:t>
      </w:r>
    </w:p>
    <w:p>
      <w:pPr>
        <w:pStyle w:val="ListParagraph"/>
        <w:numPr>
          <w:ilvl w:val="0"/>
          <w:numId w:val="9"/>
        </w:numPr>
      </w:pPr>
      <w:r>
        <w:t xml:space="preserve">[ ] Approver functions and named people</w:t>
      </w:r>
    </w:p>
    <w:p>
      <w:pPr>
        <w:pStyle w:val="ListParagraph"/>
        <w:numPr>
          <w:ilvl w:val="0"/>
          <w:numId w:val="9"/>
        </w:numPr>
      </w:pPr>
      <w:r>
        <w:t xml:space="preserve">[ ] Conditions, owners and due dates</w:t>
      </w:r>
    </w:p>
    <w:p>
      <w:pPr>
        <w:pStyle w:val="ListParagraph"/>
        <w:numPr>
          <w:ilvl w:val="0"/>
          <w:numId w:val="9"/>
        </w:numPr>
      </w:pPr>
      <w:r>
        <w:t xml:space="preserve">[ ] Next gate or route-back gate</w:t>
      </w:r>
    </w:p>
    <w:p>
      <w:pPr>
        <w:pStyle w:val="ListParagraph"/>
        <w:numPr>
          <w:ilvl w:val="0"/>
          <w:numId w:val="9"/>
        </w:numPr>
      </w:pPr>
      <w:r>
        <w:t xml:space="preserve">[ ] Next review date</w:t>
      </w:r>
    </w:p>
    <w:p>
      <w:pPr>
        <w:pStyle w:val="Heading3"/>
      </w:pPr>
      <w:r>
        <w:t xml:space="preserve">Periodic governance review</w:t>
      </w:r>
    </w:p>
    <w:p>
      <w:pPr>
        <w:pStyle w:val="ListParagraph"/>
        <w:numPr>
          <w:ilvl w:val="0"/>
          <w:numId w:val="10"/>
        </w:numPr>
      </w:pPr>
      <w:r>
        <w:t xml:space="preserve">[ ] Ownership and business need remain current.</w:t>
      </w:r>
    </w:p>
    <w:p>
      <w:pPr>
        <w:pStyle w:val="ListParagraph"/>
        <w:numPr>
          <w:ilvl w:val="0"/>
          <w:numId w:val="10"/>
        </w:numPr>
      </w:pPr>
      <w:r>
        <w:t xml:space="preserve">[ ] Tier and regulatory applicability remain current.</w:t>
      </w:r>
    </w:p>
    <w:p>
      <w:pPr>
        <w:pStyle w:val="ListParagraph"/>
        <w:numPr>
          <w:ilvl w:val="0"/>
          <w:numId w:val="10"/>
        </w:numPr>
      </w:pPr>
      <w:r>
        <w:t xml:space="preserve">[ ] Gate evidence still describes the deployed version.</w:t>
      </w:r>
    </w:p>
    <w:p>
      <w:pPr>
        <w:pStyle w:val="ListParagraph"/>
        <w:numPr>
          <w:ilvl w:val="0"/>
          <w:numId w:val="10"/>
        </w:numPr>
      </w:pPr>
      <w:r>
        <w:t xml:space="preserve">[ ] Material changes were routed correctly.</w:t>
      </w:r>
    </w:p>
    <w:p>
      <w:pPr>
        <w:pStyle w:val="ListParagraph"/>
        <w:numPr>
          <w:ilvl w:val="0"/>
          <w:numId w:val="10"/>
        </w:numPr>
      </w:pPr>
      <w:r>
        <w:t xml:space="preserve">[ ] Incidents, findings and repeated failures were resolved or escalated.</w:t>
      </w:r>
    </w:p>
    <w:p>
      <w:pPr>
        <w:pStyle w:val="ListParagraph"/>
        <w:numPr>
          <w:ilvl w:val="0"/>
          <w:numId w:val="10"/>
        </w:numPr>
      </w:pPr>
      <w:r>
        <w:t xml:space="preserve">[ ] Exceptions are current and compensating measures still work.</w:t>
      </w:r>
    </w:p>
    <w:p>
      <w:pPr>
        <w:pStyle w:val="ListParagraph"/>
        <w:numPr>
          <w:ilvl w:val="0"/>
          <w:numId w:val="10"/>
        </w:numPr>
      </w:pPr>
      <w:r>
        <w:t xml:space="preserve">[ ] Acceptance criteria and monitoring remain sufficient.</w:t>
      </w:r>
    </w:p>
    <w:p>
      <w:pPr>
        <w:pStyle w:val="ListParagraph"/>
        <w:numPr>
          <w:ilvl w:val="0"/>
          <w:numId w:val="10"/>
        </w:numPr>
      </w:pPr>
      <w:r>
        <w:t xml:space="preserve">[ ] Suspension, restart and retirement paths remain operable.</w:t>
      </w:r>
    </w:p>
    <w:p>
      <w:pPr>
        <w:pStyle w:val="Heading2"/>
      </w:pPr>
      <w:r>
        <w:t xml:space="preserve">References</w:t>
      </w:r>
    </w:p>
    <w:p>
      <w:pPr>
        <w:pStyle w:val="BodyText"/>
      </w:pPr>
      <w:r>
        <w:t xml:space="preserve">All references resolve to </w:t>
      </w:r>
      <w:r>
        <w:rPr>
          <w:rStyle w:val="InlineCode"/>
        </w:rPr>
        <w:t xml:space="preserve">sources/SOURCES.md</w:t>
      </w:r>
      <w:r>
        <w:t xml:space="preserve">.</w:t>
      </w:r>
    </w:p>
    <w:p>
      <w:pPr>
        <w:pStyle w:val="ListParagraph"/>
        <w:numPr>
          <w:ilvl w:val="0"/>
          <w:numId w:val="11"/>
        </w:numPr>
      </w:pPr>
      <w:r>
        <w:t xml:space="preserve">[G01] NIST, </w:t>
      </w:r>
      <w:r>
        <w:rPr>
          <w:i/>
        </w:rPr>
        <w:t xml:space="preserve">Artificial Intelligence Risk Management Framework 1.0</w:t>
      </w:r>
      <w:r>
        <w:t xml:space="preserve">.</w:t>
      </w:r>
    </w:p>
    <w:p>
      <w:pPr>
        <w:pStyle w:val="ListParagraph"/>
        <w:numPr>
          <w:ilvl w:val="0"/>
          <w:numId w:val="11"/>
        </w:numPr>
      </w:pPr>
      <w:r>
        <w:t xml:space="preserve">[G02] NIST AI Resource Center, </w:t>
      </w:r>
      <w:r>
        <w:rPr>
          <w:i/>
        </w:rPr>
        <w:t xml:space="preserve">AI RMF Core</w:t>
      </w:r>
      <w:r>
        <w:t xml:space="preserve">.</w:t>
      </w:r>
    </w:p>
    <w:p>
      <w:pPr>
        <w:pStyle w:val="ListParagraph"/>
        <w:numPr>
          <w:ilvl w:val="0"/>
          <w:numId w:val="11"/>
        </w:numPr>
      </w:pPr>
      <w:r>
        <w:t xml:space="preserve">[G03] NIST AI Resource Center, </w:t>
      </w:r>
      <w:r>
        <w:rPr>
          <w:i/>
        </w:rPr>
        <w:t xml:space="preserve">NIST AI RMF Playbook</w:t>
      </w:r>
      <w:r>
        <w:t xml:space="preserve">.</w:t>
      </w:r>
    </w:p>
    <w:p>
      <w:pPr>
        <w:pStyle w:val="ListParagraph"/>
        <w:numPr>
          <w:ilvl w:val="0"/>
          <w:numId w:val="11"/>
        </w:numPr>
      </w:pPr>
      <w:r>
        <w:t xml:space="preserve">[G04] NIST, </w:t>
      </w:r>
      <w:r>
        <w:rPr>
          <w:i/>
        </w:rPr>
        <w:t xml:space="preserve">AI RMF: Generative Artificial Intelligence Profile</w:t>
      </w:r>
      <w:r>
        <w:t xml:space="preserve">.</w:t>
      </w:r>
    </w:p>
    <w:p>
      <w:pPr>
        <w:pStyle w:val="ListParagraph"/>
        <w:numPr>
          <w:ilvl w:val="0"/>
          <w:numId w:val="11"/>
        </w:numPr>
      </w:pPr>
      <w:r>
        <w:t xml:space="preserve">[G05] ISO, </w:t>
      </w:r>
      <w:r>
        <w:rPr>
          <w:i/>
        </w:rPr>
        <w:t xml:space="preserve">ISO/IEC 42001:2023</w:t>
      </w:r>
      <w:r>
        <w:t xml:space="preserve"> official record.</w:t>
      </w:r>
    </w:p>
    <w:p>
      <w:pPr>
        <w:pStyle w:val="ListParagraph"/>
        <w:numPr>
          <w:ilvl w:val="0"/>
          <w:numId w:val="11"/>
        </w:numPr>
      </w:pPr>
      <w:r>
        <w:t xml:space="preserve">[G06] OECD.AI, </w:t>
      </w:r>
      <w:r>
        <w:rPr>
          <w:i/>
        </w:rPr>
        <w:t xml:space="preserve">OECD AI Principles</w:t>
      </w:r>
      <w:r>
        <w:t xml:space="preserve">.</w:t>
      </w:r>
    </w:p>
    <w:p>
      <w:pPr>
        <w:pStyle w:val="BodyText"/>
      </w:pPr>
    </w:p>
    <w:sectPr>
      <w:footerReference w:type="default" r:id="rIdFooter"/>
      <w:pgSz w:w="12240" w:h="15840"/>
      <w:pgMar w:top="1080" w:right="1260" w:bottom="1080" w:left="1260" w:header="0" w:footer="540" w:gutter="0"/>
      <w:cols w:space="720"/>
      <w:docGrid w:linePitch="360"/>
    </w:sectPr>
  </w:body>
</w:document>
</file>

<file path=word/fontTable.xml><?xml version="1.0" encoding="utf-8"?>
<w:fonts xmlns:w="http://schemas.openxmlformats.org/wordprocessingml/2006/main">
  <w:font w:name="DM Sans">
    <w:altName w:val="Segoe UI"/>
  </w:font>
  <w:font w:name="IBM Plex Mono">
    <w:altName w:val="Consolas"/>
  </w:font>
</w:fonts>
</file>

<file path=word/footer1.xml><?xml version="1.0" encoding="utf-8"?>
<w:ftr xmlns:w="http://schemas.openxmlformats.org/wordprocessingml/2006/main" xmlns:r="http://schemas.openxmlformats.org/officeDocument/2006/relationships">
  <w:p>
    <w:pPr>
      <w:pStyle w:val="FooterText"/>
    </w:pPr>
    <w:r>
      <w:t xml:space="preserve">AI and Agent Governance Framework — page </w:t>
    </w:r>
    <w:fldSimple w:instr=" PAGE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40"/>
      </w:pPr>
      <w:rPr>
        <w:rFonts w:ascii="Symbol" w:hAnsi="Symbol"/>
      </w:rPr>
    </w:lvl>
  </w:abstractNum>
  <w:abstractNum w:abstractNumId="1">
    <w:multiLevelType w:val="hybridMultilevel"/>
    <w:lvl w:ilvl="0">
      <w:start w:val="1"/>
      <w:numFmt w:val="decimal"/>
      <w:lvlText w:val="%1."/>
      <w:lvlJc w:val="left"/>
      <w:pPr>
        <w:ind w:left="360" w:hanging="240"/>
      </w:p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1"/>
  </w:num>
  <w:num w:numId="8">
    <w:abstractNumId w:val="0"/>
  </w:num>
  <w:num w:numId="9">
    <w:abstractNumId w:val="0"/>
  </w:num>
  <w:num w:numId="10">
    <w:abstractNumId w:val="0"/>
  </w:num>
  <w:num w:numId="11">
    <w:abstractNumId w:val="0"/>
  </w:num>
</w:numbering>
</file>

<file path=word/styles.xml><?xml version="1.0" encoding="utf-8"?>
<w:styles xmlns:w="http://schemas.openxmlformats.org/wordprocessingml/2006/main">
  <w:docDefaults>
    <w:rPrDefault>
      <w:rPr>
        <w:rFonts w:ascii="DM Sans" w:hAnsi="DM Sans" w:eastAsia="DM Sans"/>
        <w:color w:val="151210"/>
        <w:sz w:val="21"/>
        <w:szCs w:val="21"/>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paragraph" w:styleId="BodyText">
    <w:name w:val="Body Text"/>
    <w:basedOn w:val="Normal"/>
    <w:next w:val="BodyText"/>
    <w:qFormat/>
    <w:pPr>
      <w:spacing w:before="0" w:after="160" w:line="276" w:lineRule="auto"/>
    </w:pPr>
  </w:style>
  <w:style w:type="paragraph" w:styleId="Title">
    <w:name w:val="Title"/>
    <w:basedOn w:val="Normal"/>
    <w:next w:val="Subtitle"/>
    <w:qFormat/>
    <w:pPr>
      <w:keepNext/>
      <w:spacing w:before="240" w:after="180"/>
      <w:jc w:val="center"/>
    </w:pPr>
    <w:rPr>
      <w:b/>
      <w:color w:val="A96D00"/>
      <w:sz w:val="48"/>
      <w:szCs w:val="48"/>
    </w:rPr>
  </w:style>
  <w:style w:type="paragraph" w:styleId="Subtitle">
    <w:name w:val="Subtitle"/>
    <w:basedOn w:val="Normal"/>
    <w:next w:val="BodyText"/>
    <w:qFormat/>
    <w:pPr>
      <w:spacing w:after="300"/>
      <w:jc w:val="center"/>
    </w:pPr>
    <w:rPr>
      <w:color w:val="754900"/>
      <w:sz w:val="26"/>
      <w:szCs w:val="26"/>
    </w:rPr>
  </w:style>
  <w:style w:type="paragraph" w:styleId="Heading1">
    <w:name w:val="heading 1"/>
    <w:basedOn w:val="Normal"/>
    <w:next w:val="BodyText"/>
    <w:qFormat/>
    <w:pPr>
      <w:keepNext/>
      <w:keepLines/>
      <w:spacing w:before="320" w:after="160"/>
      <w:outlineLvl w:val="0"/>
    </w:pPr>
    <w:rPr>
      <w:b/>
      <w:color w:val="A96D00"/>
      <w:sz w:val="34"/>
      <w:szCs w:val="34"/>
    </w:rPr>
  </w:style>
  <w:style w:type="paragraph" w:styleId="Heading2">
    <w:name w:val="heading 2"/>
    <w:basedOn w:val="Normal"/>
    <w:next w:val="BodyText"/>
    <w:qFormat/>
    <w:pPr>
      <w:keepNext/>
      <w:keepLines/>
      <w:spacing w:before="260" w:after="120"/>
      <w:outlineLvl w:val="1"/>
    </w:pPr>
    <w:rPr>
      <w:b/>
      <w:color w:val="754900"/>
      <w:sz w:val="28"/>
      <w:szCs w:val="28"/>
    </w:rPr>
  </w:style>
  <w:style w:type="paragraph" w:styleId="Heading3">
    <w:name w:val="heading 3"/>
    <w:basedOn w:val="Normal"/>
    <w:next w:val="BodyText"/>
    <w:qFormat/>
    <w:pPr>
      <w:keepNext/>
      <w:keepLines/>
      <w:spacing w:before="220" w:after="100"/>
      <w:outlineLvl w:val="2"/>
    </w:pPr>
    <w:rPr>
      <w:b/>
      <w:color w:val="151210"/>
      <w:sz w:val="24"/>
      <w:szCs w:val="24"/>
    </w:rPr>
  </w:style>
  <w:style w:type="paragraph" w:styleId="Quote">
    <w:name w:val="Quote"/>
    <w:basedOn w:val="BodyText"/>
    <w:next w:val="BodyText"/>
    <w:qFormat/>
    <w:pPr>
      <w:pBdr>
        <w:left w:val="single" w:sz="16" w:space="12" w:color="A96D00"/>
      </w:pBdr>
      <w:spacing w:before="100" w:after="180"/>
      <w:ind w:left="480" w:right="240"/>
    </w:pPr>
    <w:rPr>
      <w:i/>
      <w:color w:val="151210"/>
    </w:rPr>
  </w:style>
  <w:style w:type="paragraph" w:styleId="Caption">
    <w:name w:val="Caption"/>
    <w:basedOn w:val="Normal"/>
    <w:next w:val="BodyText"/>
    <w:qFormat/>
    <w:pPr>
      <w:spacing w:after="160"/>
      <w:jc w:val="center"/>
    </w:pPr>
    <w:rPr>
      <w:i/>
      <w:color w:val="151210"/>
      <w:sz w:val="18"/>
      <w:szCs w:val="18"/>
    </w:rPr>
  </w:style>
  <w:style w:type="paragraph" w:styleId="ListParagraph">
    <w:name w:val="List Paragraph"/>
    <w:basedOn w:val="BodyText"/>
    <w:next w:val="BodyText"/>
    <w:qFormat/>
    <w:pPr>
      <w:spacing w:before="0" w:after="60"/>
      <w:ind w:left="360"/>
      <w:contextualSpacing/>
    </w:pPr>
  </w:style>
  <w:style w:type="paragraph" w:styleId="CodeBlock">
    <w:name w:val="Code Block"/>
    <w:basedOn w:val="Normal"/>
    <w:next w:val="BodyText"/>
    <w:qFormat/>
    <w:pPr>
      <w:pBdr>
        <w:left w:val="single" w:sz="12" w:space="8" w:color="A96D00"/>
      </w:pBdr>
      <w:shd w:val="clear" w:color="auto" w:fill="FFFDF8"/>
      <w:spacing w:before="80" w:after="160" w:line="240" w:lineRule="auto"/>
      <w:ind w:left="240" w:right="240"/>
    </w:pPr>
    <w:rPr>
      <w:rFonts w:ascii="IBM Plex Mono" w:hAnsi="IBM Plex Mono" w:eastAsia="IBM Plex Mono"/>
      <w:sz w:val="18"/>
      <w:szCs w:val="18"/>
    </w:rPr>
  </w:style>
  <w:style w:type="paragraph" w:styleId="TableHeader">
    <w:name w:val="Table Header"/>
    <w:basedOn w:val="Normal"/>
    <w:next w:val="TableBody"/>
    <w:qFormat/>
    <w:pPr>
      <w:spacing w:before="0" w:after="0"/>
    </w:pPr>
    <w:rPr>
      <w:b/>
      <w:color w:val="151210"/>
    </w:rPr>
  </w:style>
  <w:style w:type="paragraph" w:styleId="TableBody">
    <w:name w:val="Table Body"/>
    <w:basedOn w:val="Normal"/>
    <w:next w:val="TableBody"/>
    <w:qFormat/>
    <w:pPr>
      <w:spacing w:before="0" w:after="0"/>
    </w:pPr>
    <w:rPr>
      <w:sz w:val="19"/>
      <w:szCs w:val="19"/>
    </w:rPr>
  </w:style>
  <w:style w:type="paragraph" w:styleId="TableHeaderCompact">
    <w:name w:val="Table Header Compact"/>
    <w:basedOn w:val="TableHeader"/>
    <w:next w:val="TableBodyCompact"/>
    <w:qFormat/>
    <w:pPr>
      <w:spacing w:before="0" w:after="0"/>
    </w:pPr>
    <w:rPr>
      <w:b/>
      <w:color w:val="151210"/>
      <w:sz w:val="16"/>
      <w:szCs w:val="16"/>
    </w:rPr>
  </w:style>
  <w:style w:type="paragraph" w:styleId="TableBodyCompact">
    <w:name w:val="Table Body Compact"/>
    <w:basedOn w:val="TableBody"/>
    <w:next w:val="TableBodyCompact"/>
    <w:qFormat/>
    <w:pPr>
      <w:spacing w:before="0" w:after="0"/>
    </w:pPr>
    <w:rPr>
      <w:sz w:val="16"/>
      <w:szCs w:val="16"/>
    </w:rPr>
  </w:style>
  <w:style w:type="paragraph" w:styleId="FooterText">
    <w:name w:val="Footer"/>
    <w:basedOn w:val="Normal"/>
    <w:next w:val="FooterText"/>
    <w:qFormat/>
    <w:pPr>
      <w:spacing w:before="0" w:after="0"/>
      <w:jc w:val="center"/>
    </w:pPr>
    <w:rPr>
      <w:color w:val="151210"/>
      <w:sz w:val="16"/>
      <w:szCs w:val="16"/>
    </w:rPr>
  </w:style>
  <w:style w:type="character" w:styleId="InlineCode">
    <w:name w:val="Inline Code"/>
    <w:basedOn w:val="DefaultParagraphFont"/>
    <w:rPr>
      <w:rFonts w:ascii="IBM Plex Mono" w:hAnsi="IBM Plex Mono" w:eastAsia="IBM Plex Mono"/>
      <w:color w:val="151210"/>
      <w:sz w:val="19"/>
      <w:szCs w:val="19"/>
      <w:shd w:val="clear" w:color="auto" w:fill="FFFDF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ContentTable">
    <w:name w:val="Content Table"/>
    <w:basedOn w:val="TableNormal"/>
    <w:uiPriority w:val="35"/>
    <w:qFormat/>
    <w:tblPr>
      <w:tblBorders>
        <w:top w:val="single" w:sz="4" w:color="A96D00"/>
        <w:left w:val="single" w:sz="4" w:color="A96D00"/>
        <w:bottom w:val="single" w:sz="4" w:color="A96D00"/>
        <w:right w:val="single" w:sz="4" w:color="A96D00"/>
        <w:insideH w:val="single" w:sz="4" w:color="A96D00"/>
        <w:insideV w:val="single" w:sz="4" w:color="A96D00"/>
      </w:tblBorders>
      <w:tblCellMar>
        <w:top w:w="80" w:type="dxa"/>
        <w:left w:w="100" w:type="dxa"/>
        <w:bottom w:w="80" w:type="dxa"/>
        <w:right w:w="100" w:type="dxa"/>
      </w:tblCellMar>
    </w:tblPr>
    <w:tblStylePr w:type="firstRow">
      <w:rPr>
        <w:b/>
        <w:color w:val="151210"/>
      </w:rPr>
      <w:tcPr>
        <w:shd w:val="clear" w:color="auto" w:fill="F5F0E7"/>
      </w:tcPr>
    </w:tblStylePr>
    <w:tblStylePr w:type="band1Horz">
      <w:tcPr>
        <w:shd w:val="clear" w:color="auto" w:fill="FFFDF8"/>
      </w:tcPr>
    </w:tblStyle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Numbering" Type="http://schemas.openxmlformats.org/officeDocument/2006/relationships/numbering" Target="numbering.xml"/>
  <Relationship Id="rIdFooter" Type="http://schemas.openxmlformats.org/officeDocument/2006/relationships/footer" Target="footer1.xml"/>
  <Relationship Id="rIdFontTable" Type="http://schemas.openxmlformats.org/officeDocument/2006/relationships/fontTable" Target="fontTable.xml"/>
  <Relationship Id="rIdLogo" Type="http://schemas.openxmlformats.org/officeDocument/2006/relationships/image" Target="media/logo.png"/>
</Relationships>
</file>

<file path=docProps/core.xml><?xml version="1.0" encoding="utf-8"?>
<cp:coreProperties xmlns:cp="http://schemas.openxmlformats.org/package/2006/metadata/core-properties" xmlns:dc="http://purl.org/dc/elements/1.1/" xmlns:dcterms="http://purl.org/dc/terms/" xmlns:xsi="http://www.w3.org/2001/XMLSchema-instance">
  <dc:title>AI and Agent Governance Framework</dc:title>
  <dc:creator>Alpha AI</dc:creator>
  <cp:lastModifiedBy>Alpha AI</cp:lastModifiedBy>
  <dcterms:created xsi:type="dcterms:W3CDTF">2026-09-08T00:00:00Z</dcterms:created>
  <dcterms:modified xsi:type="dcterms:W3CDTF">2026-09-08T00:00:00Z</dcterms:modified>
</cp:coreProperties>
</file>