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240"/>
      </w:pPr>
      <w:r>
        <w:drawing>
          <wp:inline distT="0" distB="0" distL="0" distR="0">
            <wp:extent cx="1463040" cy="360133"/>
            <wp:effectExtent l="0" t="0" r="0" b="0"/>
            <wp:docPr id="1" name="Logo" descr="Logo"/>
            <wp:cNvGraphicFramePr>
              <a:graphicFrameLocks noChangeAspect="1"/>
            </wp:cNvGraphicFramePr>
            <a:graphic>
              <a:graphicData uri="http://schemas.openxmlformats.org/drawingml/2006/picture">
                <pic:pic>
                  <pic:nvPicPr>
                    <pic:cNvPr id="1" name="Logo" descr="Logo"/>
                    <pic:cNvPicPr>
                      <a:picLocks noChangeAspect="1" noChangeArrowheads="1"/>
                    </pic:cNvPicPr>
                  </pic:nvPicPr>
                  <pic:blipFill>
                    <a:blip r:embed="rIdLogo"/>
                    <a:stretch>
                      <a:fillRect/>
                    </a:stretch>
                  </pic:blipFill>
                  <pic:spPr>
                    <a:xfrm>
                      <a:off x="0" y="0"/>
                      <a:ext cx="1463040" cy="360133"/>
                    </a:xfrm>
                    <a:prstGeom prst="rect">
                      <a:avLst/>
                    </a:prstGeom>
                  </pic:spPr>
                </pic:pic>
              </a:graphicData>
            </a:graphic>
          </wp:inline>
        </w:drawing>
      </w:r>
    </w:p>
    <w:p>
      <w:pPr>
        <w:pStyle w:val="Heading1"/>
      </w:pPr>
      <w:r>
        <w:t xml:space="preserve">AI agent control checklists</w:t>
      </w:r>
    </w:p>
    <w:p>
      <w:pPr>
        <w:pStyle w:val="Heading2"/>
      </w:pPr>
      <w:r>
        <w:t xml:space="preserve">1. Purpose, applicability and use</w:t>
      </w:r>
    </w:p>
    <w:p>
      <w:pPr>
        <w:pStyle w:val="BodyText"/>
      </w:pPr>
      <w:r>
        <w:t xml:space="preserve">This document supports one decision:</w:t>
      </w:r>
    </w:p>
    <w:p>
      <w:pPr>
        <w:pStyle w:val="Quote"/>
      </w:pPr>
      <w:r>
        <w:t xml:space="preserve">Which testable controls and retained evidence are required for this agent's tier and current lifecycle gate, and is the evidence sufficient to pass, route back, suspend or retire?</w:t>
      </w:r>
    </w:p>
    <w:p>
      <w:pPr>
        <w:pStyle w:val="BodyText"/>
      </w:pPr>
      <w:r>
        <w:t xml:space="preserve">It is for Forward Deployed Engineering leads, agent product owners, technical owners, operations owners, independent assurance, security and risk leads, and runtime-selection teams. It applies to production AI systems that include an agent. A client may also apply it to a non-agentic AI system when the same controls are useful.</w:t>
      </w:r>
    </w:p>
    <w:p>
      <w:pPr>
        <w:pStyle w:val="BodyText"/>
      </w:pPr>
      <w:r>
        <w:t xml:space="preserve">The controls are an Alpha AI baseline. NIST AI RMF organizes AI risk outcomes under GOVERN, MAP, MEASURE and MANAGE, treats governance as cross-cutting, and calls for continuous risk management across the AI system lifecycle. [G07] [G08] Its Core actions are not an ordered checklist, and its Playbook suggestions are voluntary and explicitly not a checklist to follow in full. [G08] [G09] GOV3 therefore converts selected outcomes into an operational method that must be tailored to the client's purpose, tier, environment, data, obligations and risk appetite. It does not claim to reproduce NIST.</w:t>
      </w:r>
    </w:p>
    <w:p>
      <w:pPr>
        <w:pStyle w:val="BodyText"/>
      </w:pPr>
      <w:r>
        <w:t xml:space="preserve">Use the document in this order:</w:t>
      </w:r>
    </w:p>
    <w:p>
      <w:pPr>
        <w:pStyle w:val="ListParagraph"/>
        <w:numPr>
          <w:ilvl w:val="0"/>
          <w:numId w:val="1"/>
        </w:numPr>
      </w:pPr>
      <w:r>
        <w:t xml:space="preserve">Confirm the GOV1 owner, tier, lifecycle gate and current approved version.</w:t>
      </w:r>
    </w:p>
    <w:p>
      <w:pPr>
        <w:pStyle w:val="ListParagraph"/>
        <w:numPr>
          <w:ilvl w:val="0"/>
          <w:numId w:val="1"/>
        </w:numPr>
      </w:pPr>
      <w:r>
        <w:t xml:space="preserve">Apply the tailoring rules in section 3 and record every applicability decision.</w:t>
      </w:r>
    </w:p>
    <w:p>
      <w:pPr>
        <w:pStyle w:val="ListParagraph"/>
        <w:numPr>
          <w:ilvl w:val="0"/>
          <w:numId w:val="1"/>
        </w:numPr>
      </w:pPr>
      <w:r>
        <w:t xml:space="preserve">Execute the controls required for the current lifecycle gate and all inherited cross-cutting controls.</w:t>
      </w:r>
    </w:p>
    <w:p>
      <w:pPr>
        <w:pStyle w:val="ListParagraph"/>
        <w:numPr>
          <w:ilvl w:val="0"/>
          <w:numId w:val="1"/>
        </w:numPr>
      </w:pPr>
      <w:r>
        <w:t xml:space="preserve">Record a result and evidence against each applicable control.</w:t>
      </w:r>
    </w:p>
    <w:p>
      <w:pPr>
        <w:pStyle w:val="ListParagraph"/>
        <w:numPr>
          <w:ilvl w:val="0"/>
          <w:numId w:val="1"/>
        </w:numPr>
      </w:pPr>
      <w:r>
        <w:t xml:space="preserve">Treat a failed or unknown mandatory control as a failed lifecycle gate decision; it cannot be offset by a score.</w:t>
      </w:r>
    </w:p>
    <w:p>
      <w:pPr>
        <w:pStyle w:val="ListParagraph"/>
        <w:numPr>
          <w:ilvl w:val="0"/>
          <w:numId w:val="1"/>
        </w:numPr>
      </w:pPr>
      <w:r>
        <w:t xml:space="preserve">Retain the decision record and route failed controls to the earliest lifecycle gate whose evidence is no longer valid.</w:t>
      </w:r>
    </w:p>
    <w:p>
      <w:pPr>
        <w:pStyle w:val="Heading3"/>
      </w:pPr>
      <w:r>
        <w:t xml:space="preserve">Dependency and assurance limits</w:t>
      </w:r>
    </w:p>
    <w:p>
      <w:pPr>
        <w:pStyle w:val="BodyText"/>
      </w:pPr>
      <w:r>
        <w:t xml:space="preserve">GOV3 is pinned to the released version of GOV1. Before independent review, GOV3's lifecycle labels, all eight retained evidence names, tier rules and exception rules were verified against that released version.</w:t>
      </w:r>
    </w:p>
    <w:p>
      <w:pPr>
        <w:pStyle w:val="BodyText"/>
      </w:pPr>
      <w:r>
        <w:t xml:space="preserve">The NIST Generative AI Profile is a companion to AI RMF 1.0. [G10] NIST SP 800-53 supplies a flexible control catalog and distinguishes control functionality from assurance confidence. [G11] NIST SSDF supplies outcome-based, tailorable secure-development practices rather than a checklist to adopt mechanically. [G12] These sources inform GOV3 but do not make GOV3 a NIST profile, baseline or conformance assessment.</w:t>
      </w:r>
    </w:p>
    <w:p>
      <w:pPr>
        <w:pStyle w:val="BodyText"/>
      </w:pPr>
      <w:r>
        <w:t xml:space="preserve">ISO describes ISO/IEC 42001 as an AI management-system standard using Plan-Do-Check-Act to manage organization-wide AI risks and opportunities. [G15] The licensed normative text was not consulted. GOV3 therefore makes no clause-level ISO mapping, paraphrase, alignment or conformity claim.</w:t>
      </w:r>
    </w:p>
    <w:p>
      <w:pPr>
        <w:pStyle w:val="BodyText"/>
      </w:pPr>
      <w:r>
        <w:t xml:space="preserve">This document does not contain:</w:t>
      </w:r>
    </w:p>
    <w:p>
      <w:pPr>
        <w:pStyle w:val="ListParagraph"/>
        <w:numPr>
          <w:ilvl w:val="0"/>
          <w:numId w:val="2"/>
        </w:numPr>
      </w:pPr>
      <w:r>
        <w:t xml:space="preserve">runtime implementation guidance, vendor capability scoring, weighting or a procurement recommendation;</w:t>
      </w:r>
    </w:p>
    <w:p>
      <w:pPr>
        <w:pStyle w:val="ListParagraph"/>
        <w:numPr>
          <w:ilvl w:val="0"/>
          <w:numId w:val="2"/>
        </w:numPr>
      </w:pPr>
      <w:r>
        <w:t xml:space="preserve">a threat taxonomy or red-team methodology (GOV2);</w:t>
      </w:r>
    </w:p>
    <w:p>
      <w:pPr>
        <w:pStyle w:val="ListParagraph"/>
        <w:numPr>
          <w:ilvl w:val="0"/>
          <w:numId w:val="2"/>
        </w:numPr>
      </w:pPr>
      <w:r>
        <w:t xml:space="preserve">jurisdiction-specific legal applicability or statutory classification (GOV4);</w:t>
      </w:r>
    </w:p>
    <w:p>
      <w:pPr>
        <w:pStyle w:val="ListParagraph"/>
        <w:numPr>
          <w:ilvl w:val="0"/>
          <w:numId w:val="2"/>
        </w:numPr>
      </w:pPr>
      <w:r>
        <w:t xml:space="preserve">compliance report design or audit-pack assembly (GOV5 and GOV6);</w:t>
      </w:r>
    </w:p>
    <w:p>
      <w:pPr>
        <w:pStyle w:val="ListParagraph"/>
        <w:numPr>
          <w:ilvl w:val="0"/>
          <w:numId w:val="2"/>
        </w:numPr>
      </w:pPr>
      <w:r>
        <w:t xml:space="preserve">detailed evaluation methods or observability implementation (R5 and R6); or</w:t>
      </w:r>
    </w:p>
    <w:p>
      <w:pPr>
        <w:pStyle w:val="ListParagraph"/>
        <w:numPr>
          <w:ilvl w:val="0"/>
          <w:numId w:val="2"/>
        </w:numPr>
      </w:pPr>
      <w:r>
        <w:t xml:space="preserve">a claim that checklist completion proves security, certification, legal compliance or ISO conformity.</w:t>
      </w:r>
    </w:p>
    <w:p>
      <w:pPr>
        <w:pStyle w:val="Heading2"/>
      </w:pPr>
      <w:r>
        <w:t xml:space="preserve">2. Control-record schema</w:t>
      </w:r>
    </w:p>
    <w:p>
      <w:pPr>
        <w:pStyle w:val="BodyText"/>
      </w:pPr>
      <w:r>
        <w:t xml:space="preserve">Each control record contains the fields below. A client may add fields but should not remove the decision, evidence or ownership fields.</w:t>
      </w:r>
    </w:p>
    <w:tbl>
      <w:tblPr>
        <w:tblStyle w:val="ContentTable"/>
        <w:tblW w:w="9720" w:type="dxa"/>
        <w:tblLayout w:type="fixed"/>
        <w:tblLook w:val="04A0" w:firstRow="1" w:lastRow="0" w:firstColumn="0" w:lastColumn="0" w:noHBand="0" w:noVBand="1"/>
      </w:tblPr>
      <w:tblGrid>
        <w:gridCol w:w="1377"/>
        <w:gridCol w:w="8343"/>
      </w:tblGrid>
      <w:tr>
        <w:trPr>
          <w:tblHeader/>
        </w:trPr>
        <w:tc>
          <w:tcPr>
            <w:tcW w:w="1377" w:type="dxa"/>
            <w:shd w:val="clear" w:color="auto" w:fill="F5F0E7"/>
          </w:tcPr>
          <w:p>
            <w:pPr>
              <w:pStyle w:val="TableHeader"/>
            </w:pPr>
            <w:r>
              <w:t xml:space="preserve">Field</w:t>
            </w:r>
          </w:p>
        </w:tc>
        <w:tc>
          <w:tcPr>
            <w:tcW w:w="8343" w:type="dxa"/>
            <w:shd w:val="clear" w:color="auto" w:fill="F5F0E7"/>
          </w:tcPr>
          <w:p>
            <w:pPr>
              <w:pStyle w:val="TableHeader"/>
            </w:pPr>
            <w:r>
              <w:t xml:space="preserve">Required content</w:t>
            </w:r>
          </w:p>
        </w:tc>
      </w:tr>
      <w:tr>
        <w:tc>
          <w:tcPr>
            <w:tcW w:w="1377" w:type="dxa"/>
          </w:tcPr>
          <w:p>
            <w:pPr>
              <w:pStyle w:val="TableBody"/>
            </w:pPr>
            <w:r>
              <w:t xml:space="preserve">Control ID</w:t>
            </w:r>
          </w:p>
        </w:tc>
        <w:tc>
          <w:tcPr>
            <w:tcW w:w="8343" w:type="dxa"/>
          </w:tcPr>
          <w:p>
            <w:pPr>
              <w:pStyle w:val="TableBody"/>
            </w:pPr>
            <w:r>
              <w:t xml:space="preserve">Stable GOV3 identifier; never reuse a retired ID</w:t>
            </w:r>
          </w:p>
        </w:tc>
      </w:tr>
      <w:tr>
        <w:tc>
          <w:tcPr>
            <w:tcW w:w="1377" w:type="dxa"/>
          </w:tcPr>
          <w:p>
            <w:pPr>
              <w:pStyle w:val="TableBody"/>
            </w:pPr>
            <w:r>
              <w:t xml:space="preserve">Family</w:t>
            </w:r>
          </w:p>
        </w:tc>
        <w:tc>
          <w:tcPr>
            <w:tcW w:w="8343" w:type="dxa"/>
          </w:tcPr>
          <w:p>
            <w:pPr>
              <w:pStyle w:val="TableBody"/>
            </w:pPr>
            <w:r>
              <w:t xml:space="preserve">Governance, data, identity, tool/action, configuration, evaluation, audit, resilience, incident or exit</w:t>
            </w:r>
          </w:p>
        </w:tc>
      </w:tr>
      <w:tr>
        <w:tc>
          <w:tcPr>
            <w:tcW w:w="1377" w:type="dxa"/>
          </w:tcPr>
          <w:p>
            <w:pPr>
              <w:pStyle w:val="TableBody"/>
            </w:pPr>
            <w:r>
              <w:t xml:space="preserve">Risk addressed</w:t>
            </w:r>
          </w:p>
        </w:tc>
        <w:tc>
          <w:tcPr>
            <w:tcW w:w="8343" w:type="dxa"/>
          </w:tcPr>
          <w:p>
            <w:pPr>
              <w:pStyle w:val="TableBody"/>
            </w:pPr>
            <w:r>
              <w:t xml:space="preserve">The failure or uncertainty the control is intended to reduce</w:t>
            </w:r>
          </w:p>
        </w:tc>
      </w:tr>
      <w:tr>
        <w:tc>
          <w:tcPr>
            <w:tcW w:w="1377" w:type="dxa"/>
          </w:tcPr>
          <w:p>
            <w:pPr>
              <w:pStyle w:val="TableBody"/>
            </w:pPr>
            <w:r>
              <w:t xml:space="preserve">Requirement</w:t>
            </w:r>
          </w:p>
        </w:tc>
        <w:tc>
          <w:tcPr>
            <w:tcW w:w="8343" w:type="dxa"/>
          </w:tcPr>
          <w:p>
            <w:pPr>
              <w:pStyle w:val="TableBody"/>
            </w:pPr>
            <w:r>
              <w:t xml:space="preserve">A testable outcome, not an aspiration</w:t>
            </w:r>
          </w:p>
        </w:tc>
      </w:tr>
      <w:tr>
        <w:tc>
          <w:tcPr>
            <w:tcW w:w="1377" w:type="dxa"/>
          </w:tcPr>
          <w:p>
            <w:pPr>
              <w:pStyle w:val="TableBody"/>
            </w:pPr>
            <w:r>
              <w:t xml:space="preserve">Applicability</w:t>
            </w:r>
          </w:p>
        </w:tc>
        <w:tc>
          <w:tcPr>
            <w:tcW w:w="8343" w:type="dxa"/>
          </w:tcPr>
          <w:p>
            <w:pPr>
              <w:pStyle w:val="TableBody"/>
            </w:pPr>
            <w:r>
              <w:t xml:space="preserve">Tier, lifecycle gate, environment, data class and any recorded exclusion</w:t>
            </w:r>
          </w:p>
        </w:tc>
      </w:tr>
      <w:tr>
        <w:tc>
          <w:tcPr>
            <w:tcW w:w="1377" w:type="dxa"/>
          </w:tcPr>
          <w:p>
            <w:pPr>
              <w:pStyle w:val="TableBody"/>
            </w:pPr>
            <w:r>
              <w:t xml:space="preserve">Accountable owner</w:t>
            </w:r>
          </w:p>
        </w:tc>
        <w:tc>
          <w:tcPr>
            <w:tcW w:w="8343" w:type="dxa"/>
          </w:tcPr>
          <w:p>
            <w:pPr>
              <w:pStyle w:val="TableBody"/>
            </w:pPr>
            <w:r>
              <w:t xml:space="preserve">Functional role accountable for the result</w:t>
            </w:r>
          </w:p>
        </w:tc>
      </w:tr>
      <w:tr>
        <w:tc>
          <w:tcPr>
            <w:tcW w:w="1377" w:type="dxa"/>
          </w:tcPr>
          <w:p>
            <w:pPr>
              <w:pStyle w:val="TableBody"/>
            </w:pPr>
            <w:r>
              <w:t xml:space="preserve">Test procedure</w:t>
            </w:r>
          </w:p>
        </w:tc>
        <w:tc>
          <w:tcPr>
            <w:tcW w:w="8343" w:type="dxa"/>
          </w:tcPr>
          <w:p>
            <w:pPr>
              <w:pStyle w:val="TableBody"/>
            </w:pPr>
            <w:r>
              <w:t xml:space="preserve">Inspection, configuration extraction, test, exercise, observation or a documented combination</w:t>
            </w:r>
          </w:p>
        </w:tc>
      </w:tr>
      <w:tr>
        <w:tc>
          <w:tcPr>
            <w:tcW w:w="1377" w:type="dxa"/>
          </w:tcPr>
          <w:p>
            <w:pPr>
              <w:pStyle w:val="TableBody"/>
            </w:pPr>
            <w:r>
              <w:t xml:space="preserve">Pass condition</w:t>
            </w:r>
          </w:p>
        </w:tc>
        <w:tc>
          <w:tcPr>
            <w:tcW w:w="8343" w:type="dxa"/>
          </w:tcPr>
          <w:p>
            <w:pPr>
              <w:pStyle w:val="TableBody"/>
            </w:pPr>
            <w:r>
              <w:t xml:space="preserve">Binary condition that distinguishes pass from fail</w:t>
            </w:r>
          </w:p>
        </w:tc>
      </w:tr>
      <w:tr>
        <w:tc>
          <w:tcPr>
            <w:tcW w:w="1377" w:type="dxa"/>
          </w:tcPr>
          <w:p>
            <w:pPr>
              <w:pStyle w:val="TableBody"/>
            </w:pPr>
            <w:r>
              <w:t xml:space="preserve">Result</w:t>
            </w:r>
          </w:p>
        </w:tc>
        <w:tc>
          <w:tcPr>
            <w:tcW w:w="8343" w:type="dxa"/>
          </w:tcPr>
          <w:p>
            <w:pPr>
              <w:pStyle w:val="TableBody"/>
            </w:pPr>
            <w:r>
              <w:rPr>
                <w:rStyle w:val="InlineCode"/>
              </w:rPr>
              <w:t xml:space="preserve">PASS</w:t>
            </w:r>
            <w:r>
              <w:t xml:space="preserve">, </w:t>
            </w:r>
            <w:r>
              <w:rPr>
                <w:rStyle w:val="InlineCode"/>
              </w:rPr>
              <w:t xml:space="preserve">FAIL</w:t>
            </w:r>
            <w:r>
              <w:t xml:space="preserve">, </w:t>
            </w:r>
            <w:r>
              <w:rPr>
                <w:rStyle w:val="InlineCode"/>
              </w:rPr>
              <w:t xml:space="preserve">UNKNOWN</w:t>
            </w:r>
            <w:r>
              <w:t xml:space="preserve"> or </w:t>
            </w:r>
            <w:r>
              <w:rPr>
                <w:rStyle w:val="InlineCode"/>
              </w:rPr>
              <w:t xml:space="preserve">NOT APPLICABLE</w:t>
            </w:r>
          </w:p>
        </w:tc>
      </w:tr>
      <w:tr>
        <w:tc>
          <w:tcPr>
            <w:tcW w:w="1377" w:type="dxa"/>
          </w:tcPr>
          <w:p>
            <w:pPr>
              <w:pStyle w:val="TableBody"/>
            </w:pPr>
            <w:r>
              <w:t xml:space="preserve">Evidence</w:t>
            </w:r>
          </w:p>
        </w:tc>
        <w:tc>
          <w:tcPr>
            <w:tcW w:w="8343" w:type="dxa"/>
          </w:tcPr>
          <w:p>
            <w:pPr>
              <w:pStyle w:val="TableBody"/>
            </w:pPr>
            <w:r>
              <w:t xml:space="preserve">Versioned artifact, source system, collection time, period covered and location</w:t>
            </w:r>
          </w:p>
        </w:tc>
      </w:tr>
      <w:tr>
        <w:tc>
          <w:tcPr>
            <w:tcW w:w="1377" w:type="dxa"/>
          </w:tcPr>
          <w:p>
            <w:pPr>
              <w:pStyle w:val="TableBody"/>
            </w:pPr>
            <w:r>
              <w:t xml:space="preserve">Cadence</w:t>
            </w:r>
          </w:p>
        </w:tc>
        <w:tc>
          <w:tcPr>
            <w:tcW w:w="8343" w:type="dxa"/>
          </w:tcPr>
          <w:p>
            <w:pPr>
              <w:pStyle w:val="TableBody"/>
            </w:pPr>
            <w:r>
              <w:t xml:space="preserve">At lifecycle decision, release, material change, incident or periodic review</w:t>
            </w:r>
          </w:p>
        </w:tc>
      </w:tr>
      <w:tr>
        <w:tc>
          <w:tcPr>
            <w:tcW w:w="1377" w:type="dxa"/>
          </w:tcPr>
          <w:p>
            <w:pPr>
              <w:pStyle w:val="TableBody"/>
            </w:pPr>
            <w:r>
              <w:t xml:space="preserve">Mapping</w:t>
            </w:r>
          </w:p>
        </w:tc>
        <w:tc>
          <w:tcPr>
            <w:tcW w:w="8343" w:type="dxa"/>
          </w:tcPr>
          <w:p>
            <w:pPr>
              <w:pStyle w:val="TableBody"/>
            </w:pPr>
            <w:r>
              <w:t xml:space="preserve">Direct source outcome or informative alignment, with mapping class stated</w:t>
            </w:r>
          </w:p>
        </w:tc>
      </w:tr>
    </w:tbl>
    <w:p>
      <w:pPr>
        <w:pStyle w:val="BodyText"/>
      </w:pPr>
      <w:r>
        <w:rPr>
          <w:rStyle w:val="InlineCode"/>
        </w:rPr>
        <w:t xml:space="preserve">UNKNOWN</w:t>
      </w:r>
      <w:r>
        <w:t xml:space="preserve"> is a result, not a temporary pass. </w:t>
      </w:r>
      <w:r>
        <w:rPr>
          <w:rStyle w:val="InlineCode"/>
        </w:rPr>
        <w:t xml:space="preserve">NOT APPLICABLE</w:t>
      </w:r>
      <w:r>
        <w:t xml:space="preserve"> requires the reason, approver and the condition that would make the control applicable.</w:t>
      </w:r>
    </w:p>
    <w:p>
      <w:pPr>
        <w:pStyle w:val="Heading2"/>
      </w:pPr>
      <w:r>
        <w:t xml:space="preserve">3. Tailoring rules</w:t>
      </w:r>
    </w:p>
    <w:p>
      <w:pPr>
        <w:pStyle w:val="BodyText"/>
      </w:pPr>
      <w:r>
        <w:t xml:space="preserve">GOV1 determines the agent's tier, lifecycle gate, accountable roles, review cadence and approval authority. GOV3 determines which control evidence must be present for that context.</w:t>
      </w:r>
    </w:p>
    <w:p>
      <w:pPr>
        <w:pStyle w:val="ListParagraph"/>
        <w:numPr>
          <w:ilvl w:val="0"/>
          <w:numId w:val="3"/>
        </w:numPr>
      </w:pPr>
      <w:r>
        <w:rPr>
          <w:b/>
        </w:rPr>
        <w:t xml:space="preserve">Start with the baseline.</w:t>
      </w:r>
      <w:r>
        <w:t xml:space="preserve"> Controls marked </w:t>
      </w:r>
      <w:r>
        <w:rPr>
          <w:rStyle w:val="InlineCode"/>
        </w:rPr>
        <w:t xml:space="preserve">T1+</w:t>
      </w:r>
      <w:r>
        <w:t xml:space="preserve"> apply to every production agent unless an approved applicability record gives a testable reason they do not.</w:t>
      </w:r>
    </w:p>
    <w:p>
      <w:pPr>
        <w:pStyle w:val="ListParagraph"/>
        <w:numPr>
          <w:ilvl w:val="0"/>
          <w:numId w:val="3"/>
        </w:numPr>
      </w:pPr>
      <w:r>
        <w:rPr>
          <w:b/>
        </w:rPr>
        <w:t xml:space="preserve">Add, never substitute.</w:t>
      </w:r>
      <w:r>
        <w:t xml:space="preserve"> </w:t>
      </w:r>
      <w:r>
        <w:rPr>
          <w:rStyle w:val="InlineCode"/>
        </w:rPr>
        <w:t xml:space="preserve">T2+</w:t>
      </w:r>
      <w:r>
        <w:t xml:space="preserve">, </w:t>
      </w:r>
      <w:r>
        <w:rPr>
          <w:rStyle w:val="InlineCode"/>
        </w:rPr>
        <w:t xml:space="preserve">T3+</w:t>
      </w:r>
      <w:r>
        <w:t xml:space="preserve"> and </w:t>
      </w:r>
      <w:r>
        <w:rPr>
          <w:rStyle w:val="InlineCode"/>
        </w:rPr>
        <w:t xml:space="preserve">T4</w:t>
      </w:r>
      <w:r>
        <w:t xml:space="preserve"> controls add evidence depth. A higher-tier control does not remove a lower-tier control.</w:t>
      </w:r>
    </w:p>
    <w:p>
      <w:pPr>
        <w:pStyle w:val="ListParagraph"/>
        <w:numPr>
          <w:ilvl w:val="0"/>
          <w:numId w:val="3"/>
        </w:numPr>
      </w:pPr>
      <w:r>
        <w:rPr>
          <w:b/>
        </w:rPr>
        <w:t xml:space="preserve">Follow the highest trigger.</w:t>
      </w:r>
      <w:r>
        <w:t xml:space="preserve"> Data class, action authority, affected parties, deployment boundary, regulatory-applicability status or failure impact may require a higher control depth than the initial tier proposal.</w:t>
      </w:r>
    </w:p>
    <w:p>
      <w:pPr>
        <w:pStyle w:val="ListParagraph"/>
        <w:numPr>
          <w:ilvl w:val="0"/>
          <w:numId w:val="3"/>
        </w:numPr>
      </w:pPr>
      <w:r>
        <w:rPr>
          <w:b/>
        </w:rPr>
        <w:t xml:space="preserve">Separate inherited and agent-specific evidence.</w:t>
      </w:r>
      <w:r>
        <w:t xml:space="preserve"> An enterprise identity, logging or secure-build control may be inherited only when scope, owner, current effectiveness and the agent's use of it are evidenced. The agent record links to the inherited control and records any agent-specific gap.</w:t>
      </w:r>
    </w:p>
    <w:p>
      <w:pPr>
        <w:pStyle w:val="ListParagraph"/>
        <w:numPr>
          <w:ilvl w:val="0"/>
          <w:numId w:val="3"/>
        </w:numPr>
      </w:pPr>
      <w:r>
        <w:rPr>
          <w:b/>
        </w:rPr>
        <w:t xml:space="preserve">Do not infer supplier capability.</w:t>
      </w:r>
      <w:r>
        <w:t xml:space="preserve"> Vendor documentation can establish what a supplier documents. It cannot replace client-configuration evidence or a representative test in the target environment.</w:t>
      </w:r>
    </w:p>
    <w:p>
      <w:pPr>
        <w:pStyle w:val="ListParagraph"/>
        <w:numPr>
          <w:ilvl w:val="0"/>
          <w:numId w:val="3"/>
        </w:numPr>
      </w:pPr>
      <w:r>
        <w:rPr>
          <w:b/>
        </w:rPr>
        <w:t xml:space="preserve">Keep unknowns visible.</w:t>
      </w:r>
      <w:r>
        <w:t xml:space="preserve"> Apply the canonical screening disposition in section 4 to every unknown or unsupported mandatory runtime-selection criterion.</w:t>
      </w:r>
    </w:p>
    <w:p>
      <w:pPr>
        <w:pStyle w:val="ListParagraph"/>
        <w:numPr>
          <w:ilvl w:val="0"/>
          <w:numId w:val="3"/>
        </w:numPr>
      </w:pPr>
      <w:r>
        <w:rPr>
          <w:b/>
        </w:rPr>
        <w:t xml:space="preserve">Bound compensating controls.</w:t>
      </w:r>
      <w:r>
        <w:t xml:space="preserve"> A compensating control records the original unmet requirement, the alternative outcome, owner, evidence, monitoring, expiry and closure test. It does not silently rewrite the requirement.</w:t>
      </w:r>
    </w:p>
    <w:p>
      <w:pPr>
        <w:pStyle w:val="ListParagraph"/>
        <w:numPr>
          <w:ilvl w:val="0"/>
          <w:numId w:val="3"/>
        </w:numPr>
      </w:pPr>
      <w:r>
        <w:rPr>
          <w:b/>
        </w:rPr>
        <w:t xml:space="preserve">Use GOV1 exception authority.</w:t>
      </w:r>
      <w:r>
        <w:t xml:space="preserve"> An exception follows GOV1 approval and expiry rules. It cannot waive an applicable law.</w:t>
      </w:r>
    </w:p>
    <w:p>
      <w:pPr>
        <w:pStyle w:val="ListParagraph"/>
        <w:numPr>
          <w:ilvl w:val="0"/>
          <w:numId w:val="3"/>
        </w:numPr>
      </w:pPr>
      <w:r>
        <w:rPr>
          <w:b/>
        </w:rPr>
        <w:t xml:space="preserve">Route material change back.</w:t>
      </w:r>
      <w:r>
        <w:t xml:space="preserve"> A change to purpose, users, data, decisions, action scope, tier, acceptance criteria, model, tools, runtime, memory or supporting evidence returns to the earliest affected lifecycle gate.</w:t>
      </w:r>
    </w:p>
    <w:p>
      <w:pPr>
        <w:pStyle w:val="ListParagraph"/>
        <w:numPr>
          <w:ilvl w:val="0"/>
          <w:numId w:val="3"/>
        </w:numPr>
      </w:pPr>
      <w:r>
        <w:rPr>
          <w:b/>
        </w:rPr>
        <w:t xml:space="preserve">Resolve legal applicability outside GOV3.</w:t>
      </w:r>
      <w:r>
        <w:t xml:space="preserve"> Unresolved applicability follows the GOV1 Tier 4 path until GOV4 and the client's qualified owner resolve it.</w:t>
      </w:r>
    </w:p>
    <w:p>
      <w:pPr>
        <w:pStyle w:val="Heading2"/>
      </w:pPr>
      <w:r>
        <w:t xml:space="preserve">4. Runtime-selection governance criteria</w:t>
      </w:r>
    </w:p>
    <w:p>
      <w:pPr>
        <w:pStyle w:val="BodyText"/>
      </w:pPr>
      <w:r>
        <w:t xml:space="preserve">These are screening criteria and required evidence only. GOV3 does not weight, score, compare, rank or recommend runtimes.</w:t>
      </w:r>
    </w:p>
    <w:tbl>
      <w:tblPr>
        <w:tblStyle w:val="ContentTable"/>
        <w:tblW w:w="9720" w:type="dxa"/>
        <w:tblLayout w:type="fixed"/>
        <w:tblLook w:val="04A0" w:firstRow="1" w:lastRow="0" w:firstColumn="0" w:lastColumn="0" w:noHBand="0" w:noVBand="1"/>
      </w:tblPr>
      <w:tblGrid>
        <w:gridCol w:w="881"/>
        <w:gridCol w:w="5103"/>
        <w:gridCol w:w="3736"/>
      </w:tblGrid>
      <w:tr>
        <w:trPr>
          <w:tblHeader/>
        </w:trPr>
        <w:tc>
          <w:tcPr>
            <w:tcW w:w="881" w:type="dxa"/>
            <w:shd w:val="clear" w:color="auto" w:fill="F5F0E7"/>
          </w:tcPr>
          <w:p>
            <w:pPr>
              <w:pStyle w:val="TableHeader"/>
            </w:pPr>
            <w:r>
              <w:t xml:space="preserve">Criterion</w:t>
            </w:r>
          </w:p>
        </w:tc>
        <w:tc>
          <w:tcPr>
            <w:tcW w:w="5103" w:type="dxa"/>
            <w:shd w:val="clear" w:color="auto" w:fill="F5F0E7"/>
          </w:tcPr>
          <w:p>
            <w:pPr>
              <w:pStyle w:val="TableHeader"/>
            </w:pPr>
            <w:r>
              <w:t xml:space="preserve">Required capability/control outcome</w:t>
            </w:r>
          </w:p>
        </w:tc>
        <w:tc>
          <w:tcPr>
            <w:tcW w:w="3736" w:type="dxa"/>
            <w:shd w:val="clear" w:color="auto" w:fill="F5F0E7"/>
          </w:tcPr>
          <w:p>
            <w:pPr>
              <w:pStyle w:val="TableHeader"/>
            </w:pPr>
            <w:r>
              <w:t xml:space="preserve">Minimum decision evidence</w:t>
            </w:r>
          </w:p>
        </w:tc>
      </w:tr>
      <w:tr>
        <w:tc>
          <w:tcPr>
            <w:tcW w:w="881" w:type="dxa"/>
          </w:tcPr>
          <w:p>
            <w:pPr>
              <w:pStyle w:val="TableBody"/>
            </w:pPr>
            <w:r>
              <w:t xml:space="preserve">Identity and authorization</w:t>
            </w:r>
          </w:p>
        </w:tc>
        <w:tc>
          <w:tcPr>
            <w:tcW w:w="5103" w:type="dxa"/>
          </w:tcPr>
          <w:p>
            <w:pPr>
              <w:pStyle w:val="TableBody"/>
            </w:pPr>
            <w:r>
              <w:t xml:space="preserve">Distinct human, workload, and agent identities; least-privilege permissions; delegated-user context where applicable; privileged actions separated and approved according to tier</w:t>
            </w:r>
          </w:p>
        </w:tc>
        <w:tc>
          <w:tcPr>
            <w:tcW w:w="3736" w:type="dxa"/>
          </w:tcPr>
          <w:p>
            <w:pPr>
              <w:pStyle w:val="TableBody"/>
            </w:pPr>
            <w:r>
              <w:t xml:space="preserve">Identity-flow diagram; role/permission export; representative allowed/denied action tests; privileged-action approval record</w:t>
            </w:r>
          </w:p>
        </w:tc>
      </w:tr>
      <w:tr>
        <w:tc>
          <w:tcPr>
            <w:tcW w:w="881" w:type="dxa"/>
          </w:tcPr>
          <w:p>
            <w:pPr>
              <w:pStyle w:val="TableBody"/>
            </w:pPr>
            <w:r>
              <w:t xml:space="preserve">Tenant and data isolation</w:t>
            </w:r>
          </w:p>
        </w:tc>
        <w:tc>
          <w:tcPr>
            <w:tcW w:w="5103" w:type="dxa"/>
          </w:tcPr>
          <w:p>
            <w:pPr>
              <w:pStyle w:val="TableBody"/>
            </w:pPr>
            <w:r>
              <w:t xml:space="preserve">Client-approved boundaries cover prompts, memory/state, files, traces, logs, caches, backups, and operator access; retention, deletion, residency, and cross-tenant behavior are explicit</w:t>
            </w:r>
          </w:p>
        </w:tc>
        <w:tc>
          <w:tcPr>
            <w:tcW w:w="3736" w:type="dxa"/>
          </w:tcPr>
          <w:p>
            <w:pPr>
              <w:pStyle w:val="TableBody"/>
            </w:pPr>
            <w:r>
              <w:t xml:space="preserve">Boundary/flow diagram; configuration export; isolation test; retention/deletion test; unresolved shared-service assumptions recorded</w:t>
            </w:r>
          </w:p>
        </w:tc>
      </w:tr>
      <w:tr>
        <w:tc>
          <w:tcPr>
            <w:tcW w:w="881" w:type="dxa"/>
          </w:tcPr>
          <w:p>
            <w:pPr>
              <w:pStyle w:val="TableBody"/>
            </w:pPr>
            <w:r>
              <w:t xml:space="preserve">Tool and action boundaries</w:t>
            </w:r>
          </w:p>
        </w:tc>
        <w:tc>
          <w:tcPr>
            <w:tcW w:w="5103" w:type="dxa"/>
          </w:tcPr>
          <w:p>
            <w:pPr>
              <w:pStyle w:val="TableBody"/>
            </w:pPr>
            <w:r>
              <w:t xml:space="preserve">Tools, destinations, methods, parameters, and action scope can be constrained; credentials are scoped; consequential actions can require approval; failure paths do not silently broaden authority</w:t>
            </w:r>
          </w:p>
        </w:tc>
        <w:tc>
          <w:tcPr>
            <w:tcW w:w="3736" w:type="dxa"/>
          </w:tcPr>
          <w:p>
            <w:pPr>
              <w:pStyle w:val="TableBody"/>
            </w:pPr>
            <w:r>
              <w:t xml:space="preserve">Tool policy and configuration; allow/deny and parameter-boundary tests; approval-path test; rollback or compensating-control evidence</w:t>
            </w:r>
          </w:p>
        </w:tc>
      </w:tr>
      <w:tr>
        <w:tc>
          <w:tcPr>
            <w:tcW w:w="881" w:type="dxa"/>
          </w:tcPr>
          <w:p>
            <w:pPr>
              <w:pStyle w:val="TableBody"/>
            </w:pPr>
            <w:r>
              <w:t xml:space="preserve">Secrets and egress</w:t>
            </w:r>
          </w:p>
        </w:tc>
        <w:tc>
          <w:tcPr>
            <w:tcW w:w="5103" w:type="dxa"/>
          </w:tcPr>
          <w:p>
            <w:pPr>
              <w:pStyle w:val="TableBody"/>
            </w:pPr>
            <w:r>
              <w:t xml:space="preserve">Secrets are stored, injected, rotated, and redacted through an approved mechanism; outbound destinations and protocols can be restricted and observed</w:t>
            </w:r>
          </w:p>
        </w:tc>
        <w:tc>
          <w:tcPr>
            <w:tcW w:w="3736" w:type="dxa"/>
          </w:tcPr>
          <w:p>
            <w:pPr>
              <w:pStyle w:val="TableBody"/>
            </w:pPr>
            <w:r>
              <w:t xml:space="preserve">Secret-handling configuration; rotation/redaction test; egress policy; allowed/blocked destination tests; exception record for unavoidable egress</w:t>
            </w:r>
          </w:p>
        </w:tc>
      </w:tr>
      <w:tr>
        <w:tc>
          <w:tcPr>
            <w:tcW w:w="881" w:type="dxa"/>
          </w:tcPr>
          <w:p>
            <w:pPr>
              <w:pStyle w:val="TableBody"/>
            </w:pPr>
            <w:r>
              <w:t xml:space="preserve">Audit-event completeness and export</w:t>
            </w:r>
          </w:p>
        </w:tc>
        <w:tc>
          <w:tcPr>
            <w:tcW w:w="5103" w:type="dxa"/>
          </w:tcPr>
          <w:p>
            <w:pPr>
              <w:pStyle w:val="TableBody"/>
            </w:pPr>
            <w:r>
              <w:t xml:space="preserve">Records can reconstruct who or what acted, the approved agent/configuration version, tool/action request and outcome, approval decision, time, and relevant correlation identifiers without relying only on a proprietary UI</w:t>
            </w:r>
          </w:p>
        </w:tc>
        <w:tc>
          <w:tcPr>
            <w:tcW w:w="3736" w:type="dxa"/>
          </w:tcPr>
          <w:p>
            <w:pPr>
              <w:pStyle w:val="TableBody"/>
            </w:pPr>
            <w:r>
              <w:t xml:space="preserve">Representative exported event set; field-completeness check; clock/correlation evidence; retention/access controls; documented gaps</w:t>
            </w:r>
          </w:p>
        </w:tc>
      </w:tr>
      <w:tr>
        <w:tc>
          <w:tcPr>
            <w:tcW w:w="881" w:type="dxa"/>
          </w:tcPr>
          <w:p>
            <w:pPr>
              <w:pStyle w:val="TableBody"/>
            </w:pPr>
            <w:r>
              <w:t xml:space="preserve">Configuration and version traceability</w:t>
            </w:r>
          </w:p>
        </w:tc>
        <w:tc>
          <w:tcPr>
            <w:tcW w:w="5103" w:type="dxa"/>
          </w:tcPr>
          <w:p>
            <w:pPr>
              <w:pStyle w:val="TableBody"/>
            </w:pPr>
            <w:r>
              <w:t xml:space="preserve">Deployed agent, model, prompt/instructions, tools, policies, dependencies, and environment resolve to an approved version; changes are attributable and a prior approved state can be identified</w:t>
            </w:r>
          </w:p>
        </w:tc>
        <w:tc>
          <w:tcPr>
            <w:tcW w:w="3736" w:type="dxa"/>
          </w:tcPr>
          <w:p>
            <w:pPr>
              <w:pStyle w:val="TableBody"/>
            </w:pPr>
            <w:r>
              <w:t xml:space="preserve">Versioned deployment manifest; change/approval record; configuration export; reconstruction or rollback test</w:t>
            </w:r>
          </w:p>
        </w:tc>
      </w:tr>
      <w:tr>
        <w:tc>
          <w:tcPr>
            <w:tcW w:w="881" w:type="dxa"/>
          </w:tcPr>
          <w:p>
            <w:pPr>
              <w:pStyle w:val="TableBody"/>
            </w:pPr>
            <w:r>
              <w:t xml:space="preserve">Kill, containment, and recovery</w:t>
            </w:r>
          </w:p>
        </w:tc>
        <w:tc>
          <w:tcPr>
            <w:tcW w:w="5103" w:type="dxa"/>
          </w:tcPr>
          <w:p>
            <w:pPr>
              <w:pStyle w:val="TableBody"/>
            </w:pPr>
            <w:r>
              <w:t xml:space="preserve">Authorized operators can suspend action authority, contain in-flight or queued work, preserve evidence, recover safely, and require the applicable GOV1 lifecycle gate approval before restart</w:t>
            </w:r>
          </w:p>
        </w:tc>
        <w:tc>
          <w:tcPr>
            <w:tcW w:w="3736" w:type="dxa"/>
          </w:tcPr>
          <w:p>
            <w:pPr>
              <w:pStyle w:val="TableBody"/>
            </w:pPr>
            <w:r>
              <w:t xml:space="preserve">Kill/containment exercise; queue/in-flight behavior evidence; recovery test; incident/runbook record; restart-authorization evidence</w:t>
            </w:r>
          </w:p>
        </w:tc>
      </w:tr>
      <w:tr>
        <w:tc>
          <w:tcPr>
            <w:tcW w:w="881" w:type="dxa"/>
          </w:tcPr>
          <w:p>
            <w:pPr>
              <w:pStyle w:val="TableBody"/>
            </w:pPr>
            <w:r>
              <w:t xml:space="preserve">Evidence portability</w:t>
            </w:r>
          </w:p>
        </w:tc>
        <w:tc>
          <w:tcPr>
            <w:tcW w:w="5103" w:type="dxa"/>
          </w:tcPr>
          <w:p>
            <w:pPr>
              <w:pStyle w:val="TableBody"/>
            </w:pPr>
            <w:r>
              <w:t xml:space="preserve">The client can retain and export configuration, logs, traces, evaluation results, approvals, and control evidence in a usable form for assurance, incident response, and handover</w:t>
            </w:r>
          </w:p>
        </w:tc>
        <w:tc>
          <w:tcPr>
            <w:tcW w:w="3736" w:type="dxa"/>
          </w:tcPr>
          <w:p>
            <w:pPr>
              <w:pStyle w:val="TableBody"/>
            </w:pPr>
            <w:r>
              <w:t xml:space="preserve">Export sample; format/schema documentation; completeness check against the required evidence set; client retrieval test without supplier-operated UI dependency</w:t>
            </w:r>
          </w:p>
        </w:tc>
      </w:tr>
      <w:tr>
        <w:tc>
          <w:tcPr>
            <w:tcW w:w="881" w:type="dxa"/>
          </w:tcPr>
          <w:p>
            <w:pPr>
              <w:pStyle w:val="TableBody"/>
            </w:pPr>
            <w:r>
              <w:t xml:space="preserve">Exit and lock-in evidence</w:t>
            </w:r>
          </w:p>
        </w:tc>
        <w:tc>
          <w:tcPr>
            <w:tcW w:w="5103" w:type="dxa"/>
          </w:tcPr>
          <w:p>
            <w:pPr>
              <w:pStyle w:val="TableBody"/>
            </w:pPr>
            <w:r>
              <w:t xml:space="preserve">The client can identify what is portable, replaceable, contractually restricted, or supplier-bound; revoke access; export required artifacts; and verify deletion/archive obligations during exit</w:t>
            </w:r>
          </w:p>
        </w:tc>
        <w:tc>
          <w:tcPr>
            <w:tcW w:w="3736" w:type="dxa"/>
          </w:tcPr>
          <w:p>
            <w:pPr>
              <w:pStyle w:val="TableBody"/>
            </w:pPr>
            <w:r>
              <w:t xml:space="preserve">Exit inventory; export/migration test; credential-revocation test; deletion/archive attestation path; explicit unresolved portability and commercial dependencies</w:t>
            </w:r>
          </w:p>
        </w:tc>
      </w:tr>
    </w:tbl>
    <w:p>
      <w:pPr>
        <w:pStyle w:val="BodyText"/>
      </w:pPr>
      <w:r>
        <w:rPr>
          <w:b/>
        </w:rPr>
        <w:t xml:space="preserve">Tailoring rule:</w:t>
      </w:r>
      <w:r>
        <w:t xml:space="preserve"> GOV1 tier, lifecycle gate, client data classification, deployment boundary, and regulatory-applicability record determine which criteria are mandatory and how deep the evidence must be.</w:t>
      </w:r>
    </w:p>
    <w:p>
      <w:pPr>
        <w:pStyle w:val="BodyText"/>
      </w:pPr>
      <w:r>
        <w:rPr>
          <w:b/>
        </w:rPr>
        <w:t xml:space="preserve">Canonical screening disposition:</w:t>
      </w:r>
      <w:r>
        <w:t xml:space="preserve"> An unknown or unsupported mandatory runtime-selection criterion fails screening and excludes the candidate from weighted comparison and selection. The candidate can proceed only under a current GOV1 exception that identifies the unmet requirement, authorizes a defined compensating outcome and satisfies GOV1's approval, evidence, monitoring and expiry rules. The exception cannot be replaced or offset by a weighted selection score.</w:t>
      </w:r>
    </w:p>
    <w:p>
      <w:pPr>
        <w:pStyle w:val="Heading2"/>
      </w:pPr>
      <w:r>
        <w:t xml:space="preserve">5. Lifecycle checklists using GOV3 labels </w:t>
      </w:r>
      <w:r>
        <w:rPr>
          <w:rStyle w:val="InlineCode"/>
        </w:rPr>
        <w:t xml:space="preserve">L1</w:t>
      </w:r>
      <w:r>
        <w:t xml:space="preserve">-</w:t>
      </w:r>
      <w:r>
        <w:rPr>
          <w:rStyle w:val="InlineCode"/>
        </w:rPr>
        <w:t xml:space="preserve">L8</w:t>
      </w:r>
    </w:p>
    <w:p>
      <w:pPr>
        <w:pStyle w:val="BodyText"/>
      </w:pPr>
      <w:r>
        <w:t xml:space="preserve">The labels and retained-evidence names below were verified against the released GOV1 state pinned in section 1. </w:t>
      </w:r>
      <w:r>
        <w:rPr>
          <w:rStyle w:val="InlineCode"/>
        </w:rPr>
        <w:t xml:space="preserve">L1</w:t>
      </w:r>
      <w:r>
        <w:t xml:space="preserve">-</w:t>
      </w:r>
      <w:r>
        <w:rPr>
          <w:rStyle w:val="InlineCode"/>
        </w:rPr>
        <w:t xml:space="preserve">L8</w:t>
      </w:r>
      <w:r>
        <w:t xml:space="preserve"> are GOV3-local shorthand, not identifiers defined by GOV1:</w:t>
      </w:r>
    </w:p>
    <w:tbl>
      <w:tblPr>
        <w:tblStyle w:val="ContentTable"/>
        <w:tblW w:w="9720" w:type="dxa"/>
        <w:tblLayout w:type="fixed"/>
        <w:tblLook w:val="04A0" w:firstRow="1" w:lastRow="0" w:firstColumn="0" w:lastColumn="0" w:noHBand="0" w:noVBand="1"/>
      </w:tblPr>
      <w:tblGrid>
        <w:gridCol w:w="2557"/>
        <w:gridCol w:w="7163"/>
      </w:tblGrid>
      <w:tr>
        <w:trPr>
          <w:tblHeader/>
        </w:trPr>
        <w:tc>
          <w:tcPr>
            <w:tcW w:w="2557" w:type="dxa"/>
            <w:shd w:val="clear" w:color="auto" w:fill="F5F0E7"/>
          </w:tcPr>
          <w:p>
            <w:pPr>
              <w:pStyle w:val="TableHeader"/>
            </w:pPr>
            <w:r>
              <w:t xml:space="preserve">GOV3 label</w:t>
            </w:r>
          </w:p>
        </w:tc>
        <w:tc>
          <w:tcPr>
            <w:tcW w:w="7163" w:type="dxa"/>
            <w:shd w:val="clear" w:color="auto" w:fill="F5F0E7"/>
          </w:tcPr>
          <w:p>
            <w:pPr>
              <w:pStyle w:val="TableHeader"/>
            </w:pPr>
            <w:r>
              <w:t xml:space="preserve">Released GOV1 lifecycle gate</w:t>
            </w:r>
          </w:p>
        </w:tc>
      </w:tr>
      <w:tr>
        <w:tc>
          <w:tcPr>
            <w:tcW w:w="2557" w:type="dxa"/>
          </w:tcPr>
          <w:p>
            <w:pPr>
              <w:pStyle w:val="TableBody"/>
            </w:pPr>
            <w:r>
              <w:rPr>
                <w:rStyle w:val="InlineCode"/>
              </w:rPr>
              <w:t xml:space="preserve">L1</w:t>
            </w:r>
          </w:p>
        </w:tc>
        <w:tc>
          <w:tcPr>
            <w:tcW w:w="7163" w:type="dxa"/>
          </w:tcPr>
          <w:p>
            <w:pPr>
              <w:pStyle w:val="TableBody"/>
            </w:pPr>
            <w:r>
              <w:t xml:space="preserve">1. Intake</w:t>
            </w:r>
          </w:p>
        </w:tc>
      </w:tr>
      <w:tr>
        <w:tc>
          <w:tcPr>
            <w:tcW w:w="2557" w:type="dxa"/>
          </w:tcPr>
          <w:p>
            <w:pPr>
              <w:pStyle w:val="TableBody"/>
            </w:pPr>
            <w:r>
              <w:rPr>
                <w:rStyle w:val="InlineCode"/>
              </w:rPr>
              <w:t xml:space="preserve">L2</w:t>
            </w:r>
          </w:p>
        </w:tc>
        <w:tc>
          <w:tcPr>
            <w:tcW w:w="7163" w:type="dxa"/>
          </w:tcPr>
          <w:p>
            <w:pPr>
              <w:pStyle w:val="TableBody"/>
            </w:pPr>
            <w:r>
              <w:t xml:space="preserve">2. Design</w:t>
            </w:r>
          </w:p>
        </w:tc>
      </w:tr>
      <w:tr>
        <w:tc>
          <w:tcPr>
            <w:tcW w:w="2557" w:type="dxa"/>
          </w:tcPr>
          <w:p>
            <w:pPr>
              <w:pStyle w:val="TableBody"/>
            </w:pPr>
            <w:r>
              <w:rPr>
                <w:rStyle w:val="InlineCode"/>
              </w:rPr>
              <w:t xml:space="preserve">L3</w:t>
            </w:r>
          </w:p>
        </w:tc>
        <w:tc>
          <w:tcPr>
            <w:tcW w:w="7163" w:type="dxa"/>
          </w:tcPr>
          <w:p>
            <w:pPr>
              <w:pStyle w:val="TableBody"/>
            </w:pPr>
            <w:r>
              <w:t xml:space="preserve">3. Build readiness</w:t>
            </w:r>
          </w:p>
        </w:tc>
      </w:tr>
      <w:tr>
        <w:tc>
          <w:tcPr>
            <w:tcW w:w="2557" w:type="dxa"/>
          </w:tcPr>
          <w:p>
            <w:pPr>
              <w:pStyle w:val="TableBody"/>
            </w:pPr>
            <w:r>
              <w:rPr>
                <w:rStyle w:val="InlineCode"/>
              </w:rPr>
              <w:t xml:space="preserve">L4</w:t>
            </w:r>
          </w:p>
        </w:tc>
        <w:tc>
          <w:tcPr>
            <w:tcW w:w="7163" w:type="dxa"/>
          </w:tcPr>
          <w:p>
            <w:pPr>
              <w:pStyle w:val="TableBody"/>
            </w:pPr>
            <w:r>
              <w:t xml:space="preserve">4. Validation</w:t>
            </w:r>
          </w:p>
        </w:tc>
      </w:tr>
      <w:tr>
        <w:tc>
          <w:tcPr>
            <w:tcW w:w="2557" w:type="dxa"/>
          </w:tcPr>
          <w:p>
            <w:pPr>
              <w:pStyle w:val="TableBody"/>
            </w:pPr>
            <w:r>
              <w:rPr>
                <w:rStyle w:val="InlineCode"/>
              </w:rPr>
              <w:t xml:space="preserve">L5</w:t>
            </w:r>
          </w:p>
        </w:tc>
        <w:tc>
          <w:tcPr>
            <w:tcW w:w="7163" w:type="dxa"/>
          </w:tcPr>
          <w:p>
            <w:pPr>
              <w:pStyle w:val="TableBody"/>
            </w:pPr>
            <w:r>
              <w:t xml:space="preserve">5. Production approval</w:t>
            </w:r>
          </w:p>
        </w:tc>
      </w:tr>
      <w:tr>
        <w:tc>
          <w:tcPr>
            <w:tcW w:w="2557" w:type="dxa"/>
          </w:tcPr>
          <w:p>
            <w:pPr>
              <w:pStyle w:val="TableBody"/>
            </w:pPr>
            <w:r>
              <w:rPr>
                <w:rStyle w:val="InlineCode"/>
              </w:rPr>
              <w:t xml:space="preserve">L6</w:t>
            </w:r>
          </w:p>
        </w:tc>
        <w:tc>
          <w:tcPr>
            <w:tcW w:w="7163" w:type="dxa"/>
          </w:tcPr>
          <w:p>
            <w:pPr>
              <w:pStyle w:val="TableBody"/>
            </w:pPr>
            <w:r>
              <w:t xml:space="preserve">6. Operation and change</w:t>
            </w:r>
          </w:p>
        </w:tc>
      </w:tr>
      <w:tr>
        <w:tc>
          <w:tcPr>
            <w:tcW w:w="2557" w:type="dxa"/>
          </w:tcPr>
          <w:p>
            <w:pPr>
              <w:pStyle w:val="TableBody"/>
            </w:pPr>
            <w:r>
              <w:rPr>
                <w:rStyle w:val="InlineCode"/>
              </w:rPr>
              <w:t xml:space="preserve">L7</w:t>
            </w:r>
          </w:p>
        </w:tc>
        <w:tc>
          <w:tcPr>
            <w:tcW w:w="7163" w:type="dxa"/>
          </w:tcPr>
          <w:p>
            <w:pPr>
              <w:pStyle w:val="TableBody"/>
            </w:pPr>
            <w:r>
              <w:t xml:space="preserve">7. Suspension and restart</w:t>
            </w:r>
          </w:p>
        </w:tc>
      </w:tr>
      <w:tr>
        <w:tc>
          <w:tcPr>
            <w:tcW w:w="2557" w:type="dxa"/>
          </w:tcPr>
          <w:p>
            <w:pPr>
              <w:pStyle w:val="TableBody"/>
            </w:pPr>
            <w:r>
              <w:rPr>
                <w:rStyle w:val="InlineCode"/>
              </w:rPr>
              <w:t xml:space="preserve">L8</w:t>
            </w:r>
          </w:p>
        </w:tc>
        <w:tc>
          <w:tcPr>
            <w:tcW w:w="7163" w:type="dxa"/>
          </w:tcPr>
          <w:p>
            <w:pPr>
              <w:pStyle w:val="TableBody"/>
            </w:pPr>
            <w:r>
              <w:t xml:space="preserve">8. Retirement</w:t>
            </w:r>
          </w:p>
        </w:tc>
      </w:tr>
    </w:tbl>
    <w:p>
      <w:pPr>
        <w:pStyle w:val="Heading3"/>
      </w:pPr>
      <w:r>
        <w:t xml:space="preserve">L1 - Intake</w:t>
      </w:r>
    </w:p>
    <w:p>
      <w:pPr>
        <w:pStyle w:val="BodyText"/>
      </w:pPr>
      <w:r>
        <w:rPr>
          <w:b/>
        </w:rPr>
        <w:t xml:space="preserve">Decision:</w:t>
      </w:r>
      <w:r>
        <w:t xml:space="preserve"> Is there a named owner, bounded purpose and approved initial tier for work to proceed?</w:t>
      </w:r>
    </w:p>
    <w:p>
      <w:pPr>
        <w:pStyle w:val="ListParagraph"/>
        <w:numPr>
          <w:ilvl w:val="0"/>
          <w:numId w:val="4"/>
        </w:numPr>
      </w:pPr>
      <w:r>
        <w:t xml:space="preserve">[ ] </w:t>
      </w:r>
      <w:r>
        <w:rPr>
          <w:rStyle w:val="InlineCode"/>
        </w:rPr>
        <w:t xml:space="preserve">GOV-01</w:t>
      </w:r>
      <w:r>
        <w:t xml:space="preserve"> - Business, product, technical, operations, assurance, data and regulatory-applicability functions are named or recorded as open dependencies.</w:t>
      </w:r>
    </w:p>
    <w:p>
      <w:pPr>
        <w:pStyle w:val="ListParagraph"/>
        <w:numPr>
          <w:ilvl w:val="0"/>
          <w:numId w:val="4"/>
        </w:numPr>
      </w:pPr>
      <w:r>
        <w:t xml:space="preserve">[ ] </w:t>
      </w:r>
      <w:r>
        <w:rPr>
          <w:rStyle w:val="InlineCode"/>
        </w:rPr>
        <w:t xml:space="preserve">GOV-02</w:t>
      </w:r>
      <w:r>
        <w:t xml:space="preserve"> - Intended purpose, prohibited purposes, users, affected parties, workflow, action authority, stop condition and initial tier rationale are recorded.</w:t>
      </w:r>
    </w:p>
    <w:p>
      <w:pPr>
        <w:pStyle w:val="ListParagraph"/>
        <w:numPr>
          <w:ilvl w:val="0"/>
          <w:numId w:val="4"/>
        </w:numPr>
      </w:pPr>
      <w:r>
        <w:t xml:space="preserve">[ ] </w:t>
      </w:r>
      <w:r>
        <w:rPr>
          <w:rStyle w:val="InlineCode"/>
        </w:rPr>
        <w:t xml:space="preserve">DAT-01</w:t>
      </w:r>
      <w:r>
        <w:t xml:space="preserve"> - Expected data classes, sources and persistence are identified at a level sufficient to identify unresolved use or residency questions.</w:t>
      </w:r>
    </w:p>
    <w:p>
      <w:pPr>
        <w:pStyle w:val="ListParagraph"/>
        <w:numPr>
          <w:ilvl w:val="0"/>
          <w:numId w:val="4"/>
        </w:numPr>
      </w:pPr>
      <w:r>
        <w:t xml:space="preserve">[ ] </w:t>
      </w:r>
      <w:r>
        <w:rPr>
          <w:rStyle w:val="InlineCode"/>
        </w:rPr>
        <w:t xml:space="preserve">EXIT-01</w:t>
      </w:r>
      <w:r>
        <w:t xml:space="preserve"> - The initial supplier and client ownership assumptions identify what must remain retrievable at handover or exit.</w:t>
      </w:r>
    </w:p>
    <w:p>
      <w:pPr>
        <w:pStyle w:val="ListParagraph"/>
        <w:numPr>
          <w:ilvl w:val="0"/>
          <w:numId w:val="4"/>
        </w:numPr>
      </w:pPr>
      <w:r>
        <w:t xml:space="preserve">[ ] Any unresolved regulatory applicability follows the GOV1 Tier 4 path.</w:t>
      </w:r>
    </w:p>
    <w:p>
      <w:pPr>
        <w:pStyle w:val="BodyText"/>
      </w:pPr>
      <w:r>
        <w:rPr>
          <w:b/>
        </w:rPr>
        <w:t xml:space="preserve">Pass condition:</w:t>
      </w:r>
      <w:r>
        <w:t xml:space="preserve"> the required GOV1 owners approve an </w:t>
      </w:r>
      <w:r>
        <w:rPr>
          <w:b/>
        </w:rPr>
        <w:t xml:space="preserve">Agent intake record</w:t>
      </w:r>
      <w:r>
        <w:t xml:space="preserve"> with no hidden mandatory unknown. Otherwise fail or route back to intake.</w:t>
      </w:r>
    </w:p>
    <w:p>
      <w:pPr>
        <w:pStyle w:val="Heading3"/>
      </w:pPr>
      <w:r>
        <w:t xml:space="preserve">L2 - Design</w:t>
      </w:r>
    </w:p>
    <w:p>
      <w:pPr>
        <w:pStyle w:val="BodyText"/>
      </w:pPr>
      <w:r>
        <w:rPr>
          <w:b/>
        </w:rPr>
        <w:t xml:space="preserve">Decision:</w:t>
      </w:r>
      <w:r>
        <w:t xml:space="preserve"> Are the deployment boundary, controls, evaluation conditions and human decision rights defined before implementation?</w:t>
      </w:r>
    </w:p>
    <w:p>
      <w:pPr>
        <w:pStyle w:val="ListParagraph"/>
        <w:numPr>
          <w:ilvl w:val="0"/>
          <w:numId w:val="5"/>
        </w:numPr>
      </w:pPr>
      <w:r>
        <w:t xml:space="preserve">[ ] </w:t>
      </w:r>
      <w:r>
        <w:rPr>
          <w:rStyle w:val="InlineCode"/>
        </w:rPr>
        <w:t xml:space="preserve">DAT-02</w:t>
      </w:r>
      <w:r>
        <w:t xml:space="preserve"> - Data flows cover prompt, memory, files, traces, logs, caches, backups, operator access, retention and deletion.</w:t>
      </w:r>
    </w:p>
    <w:p>
      <w:pPr>
        <w:pStyle w:val="ListParagraph"/>
        <w:numPr>
          <w:ilvl w:val="0"/>
          <w:numId w:val="5"/>
        </w:numPr>
      </w:pPr>
      <w:r>
        <w:t xml:space="preserve">[ ] </w:t>
      </w:r>
      <w:r>
        <w:rPr>
          <w:rStyle w:val="InlineCode"/>
        </w:rPr>
        <w:t xml:space="preserve">IAM-01</w:t>
      </w:r>
      <w:r>
        <w:t xml:space="preserve"> - Human, workload, agent and delegated-user identities and trust relationships are designed.</w:t>
      </w:r>
    </w:p>
    <w:p>
      <w:pPr>
        <w:pStyle w:val="ListParagraph"/>
        <w:numPr>
          <w:ilvl w:val="0"/>
          <w:numId w:val="5"/>
        </w:numPr>
      </w:pPr>
      <w:r>
        <w:t xml:space="preserve">[ ] </w:t>
      </w:r>
      <w:r>
        <w:rPr>
          <w:rStyle w:val="InlineCode"/>
        </w:rPr>
        <w:t xml:space="preserve">IAM-02</w:t>
      </w:r>
      <w:r>
        <w:t xml:space="preserve"> - Consequential actions and approval authority are defined by tier.</w:t>
      </w:r>
    </w:p>
    <w:p>
      <w:pPr>
        <w:pStyle w:val="ListParagraph"/>
        <w:numPr>
          <w:ilvl w:val="0"/>
          <w:numId w:val="5"/>
        </w:numPr>
      </w:pPr>
      <w:r>
        <w:t xml:space="preserve">[ ] </w:t>
      </w:r>
      <w:r>
        <w:rPr>
          <w:rStyle w:val="InlineCode"/>
        </w:rPr>
        <w:t xml:space="preserve">TOOL-01</w:t>
      </w:r>
      <w:r>
        <w:t xml:space="preserve"> - Allowed tools, destinations, methods, parameters and failure boundaries are specified.</w:t>
      </w:r>
    </w:p>
    <w:p>
      <w:pPr>
        <w:pStyle w:val="ListParagraph"/>
        <w:numPr>
          <w:ilvl w:val="0"/>
          <w:numId w:val="5"/>
        </w:numPr>
      </w:pPr>
      <w:r>
        <w:t xml:space="preserve">[ ] </w:t>
      </w:r>
      <w:r>
        <w:rPr>
          <w:rStyle w:val="InlineCode"/>
        </w:rPr>
        <w:t xml:space="preserve">SEC-01</w:t>
      </w:r>
      <w:r>
        <w:t xml:space="preserve"> - Secret handling and egress policy are specified.</w:t>
      </w:r>
    </w:p>
    <w:p>
      <w:pPr>
        <w:pStyle w:val="ListParagraph"/>
        <w:numPr>
          <w:ilvl w:val="0"/>
          <w:numId w:val="5"/>
        </w:numPr>
      </w:pPr>
      <w:r>
        <w:t xml:space="preserve">[ ] </w:t>
      </w:r>
      <w:r>
        <w:rPr>
          <w:rStyle w:val="InlineCode"/>
        </w:rPr>
        <w:t xml:space="preserve">CFG-01</w:t>
      </w:r>
      <w:r>
        <w:t xml:space="preserve"> - Version and provenance requirements cover model, prompt, tools, policies, dependencies, runtime and environment.</w:t>
      </w:r>
    </w:p>
    <w:p>
      <w:pPr>
        <w:pStyle w:val="ListParagraph"/>
        <w:numPr>
          <w:ilvl w:val="0"/>
          <w:numId w:val="5"/>
        </w:numPr>
      </w:pPr>
      <w:r>
        <w:t xml:space="preserve">[ ] </w:t>
      </w:r>
      <w:r>
        <w:rPr>
          <w:rStyle w:val="InlineCode"/>
        </w:rPr>
        <w:t xml:space="preserve">EVAL-01</w:t>
      </w:r>
      <w:r>
        <w:t xml:space="preserve"> - Acceptance criteria, datasets or rubrics, failure thresholds and required independence are approved before testing.</w:t>
      </w:r>
    </w:p>
    <w:p>
      <w:pPr>
        <w:pStyle w:val="ListParagraph"/>
        <w:numPr>
          <w:ilvl w:val="0"/>
          <w:numId w:val="5"/>
        </w:numPr>
      </w:pPr>
      <w:r>
        <w:t xml:space="preserve">[ ] </w:t>
      </w:r>
      <w:r>
        <w:rPr>
          <w:rStyle w:val="InlineCode"/>
        </w:rPr>
        <w:t xml:space="preserve">AUD-01</w:t>
      </w:r>
      <w:r>
        <w:t xml:space="preserve"> and </w:t>
      </w:r>
      <w:r>
        <w:rPr>
          <w:rStyle w:val="InlineCode"/>
        </w:rPr>
        <w:t xml:space="preserve">AUD-02</w:t>
      </w:r>
      <w:r>
        <w:t xml:space="preserve"> - Required event fields, export, access and retention outcomes are designed.</w:t>
      </w:r>
    </w:p>
    <w:p>
      <w:pPr>
        <w:pStyle w:val="ListParagraph"/>
        <w:numPr>
          <w:ilvl w:val="0"/>
          <w:numId w:val="5"/>
        </w:numPr>
      </w:pPr>
      <w:r>
        <w:t xml:space="preserve">[ ] </w:t>
      </w:r>
      <w:r>
        <w:rPr>
          <w:rStyle w:val="InlineCode"/>
        </w:rPr>
        <w:t xml:space="preserve">OPS-01</w:t>
      </w:r>
      <w:r>
        <w:t xml:space="preserve"> and </w:t>
      </w:r>
      <w:r>
        <w:rPr>
          <w:rStyle w:val="InlineCode"/>
        </w:rPr>
        <w:t xml:space="preserve">IR-01</w:t>
      </w:r>
      <w:r>
        <w:t xml:space="preserve"> - Suspension, containment, restart and incident authorities are designed.</w:t>
      </w:r>
    </w:p>
    <w:p>
      <w:pPr>
        <w:pStyle w:val="BodyText"/>
      </w:pPr>
      <w:r>
        <w:rPr>
          <w:b/>
        </w:rPr>
        <w:t xml:space="preserve">Pass condition:</w:t>
      </w:r>
      <w:r>
        <w:t xml:space="preserve"> required approvers accept the </w:t>
      </w:r>
      <w:r>
        <w:rPr>
          <w:b/>
        </w:rPr>
        <w:t xml:space="preserve">Approved deployment brief and risk-context record</w:t>
      </w:r>
      <w:r>
        <w:t xml:space="preserve">, with owners for every unresolved dependency.</w:t>
      </w:r>
    </w:p>
    <w:p>
      <w:pPr>
        <w:pStyle w:val="Heading3"/>
      </w:pPr>
      <w:r>
        <w:t xml:space="preserve">L3 - Build readiness</w:t>
      </w:r>
    </w:p>
    <w:p>
      <w:pPr>
        <w:pStyle w:val="BodyText"/>
      </w:pPr>
      <w:r>
        <w:rPr>
          <w:b/>
        </w:rPr>
        <w:t xml:space="preserve">Decision:</w:t>
      </w:r>
      <w:r>
        <w:t xml:space="preserve"> Can the approved design be built reproducibly in the client-approved environment without unowned components or authority?</w:t>
      </w:r>
    </w:p>
    <w:p>
      <w:pPr>
        <w:pStyle w:val="ListParagraph"/>
        <w:numPr>
          <w:ilvl w:val="0"/>
          <w:numId w:val="6"/>
        </w:numPr>
      </w:pPr>
      <w:r>
        <w:t xml:space="preserve">[ ] </w:t>
      </w:r>
      <w:r>
        <w:rPr>
          <w:rStyle w:val="InlineCode"/>
        </w:rPr>
        <w:t xml:space="preserve">CFG-01</w:t>
      </w:r>
      <w:r>
        <w:t xml:space="preserve"> - A version manifest resolves every model, prompt, tool, policy, dependency, image, runtime and environment reference.</w:t>
      </w:r>
    </w:p>
    <w:p>
      <w:pPr>
        <w:pStyle w:val="ListParagraph"/>
        <w:numPr>
          <w:ilvl w:val="0"/>
          <w:numId w:val="6"/>
        </w:numPr>
      </w:pPr>
      <w:r>
        <w:t xml:space="preserve">[ ] </w:t>
      </w:r>
      <w:r>
        <w:rPr>
          <w:rStyle w:val="InlineCode"/>
        </w:rPr>
        <w:t xml:space="preserve">CFG-02</w:t>
      </w:r>
      <w:r>
        <w:t xml:space="preserve"> - Change attribution, protected configuration, rollback target and release authority are implemented.</w:t>
      </w:r>
    </w:p>
    <w:p>
      <w:pPr>
        <w:pStyle w:val="ListParagraph"/>
        <w:numPr>
          <w:ilvl w:val="0"/>
          <w:numId w:val="6"/>
        </w:numPr>
      </w:pPr>
      <w:r>
        <w:t xml:space="preserve">[ ] </w:t>
      </w:r>
      <w:r>
        <w:rPr>
          <w:rStyle w:val="InlineCode"/>
        </w:rPr>
        <w:t xml:space="preserve">IAM-01</w:t>
      </w:r>
      <w:r>
        <w:t xml:space="preserve">, </w:t>
      </w:r>
      <w:r>
        <w:rPr>
          <w:rStyle w:val="InlineCode"/>
        </w:rPr>
        <w:t xml:space="preserve">IAM-02</w:t>
      </w:r>
      <w:r>
        <w:t xml:space="preserve">, </w:t>
      </w:r>
      <w:r>
        <w:rPr>
          <w:rStyle w:val="InlineCode"/>
        </w:rPr>
        <w:t xml:space="preserve">TOOL-01</w:t>
      </w:r>
      <w:r>
        <w:t xml:space="preserve">, </w:t>
      </w:r>
      <w:r>
        <w:rPr>
          <w:rStyle w:val="InlineCode"/>
        </w:rPr>
        <w:t xml:space="preserve">SEC-01</w:t>
      </w:r>
      <w:r>
        <w:t xml:space="preserve"> - Representative allow, deny, approval, secret and egress paths can be exercised.</w:t>
      </w:r>
    </w:p>
    <w:p>
      <w:pPr>
        <w:pStyle w:val="ListParagraph"/>
        <w:numPr>
          <w:ilvl w:val="0"/>
          <w:numId w:val="6"/>
        </w:numPr>
      </w:pPr>
      <w:r>
        <w:t xml:space="preserve">[ ] </w:t>
      </w:r>
      <w:r>
        <w:rPr>
          <w:rStyle w:val="InlineCode"/>
        </w:rPr>
        <w:t xml:space="preserve">DAT-02</w:t>
      </w:r>
      <w:r>
        <w:t xml:space="preserve"> - Isolation, retention and deletion configurations exist for the approved boundary.</w:t>
      </w:r>
    </w:p>
    <w:p>
      <w:pPr>
        <w:pStyle w:val="ListParagraph"/>
        <w:numPr>
          <w:ilvl w:val="0"/>
          <w:numId w:val="6"/>
        </w:numPr>
      </w:pPr>
      <w:r>
        <w:t xml:space="preserve">[ ] </w:t>
      </w:r>
      <w:r>
        <w:rPr>
          <w:rStyle w:val="InlineCode"/>
        </w:rPr>
        <w:t xml:space="preserve">AUD-01</w:t>
      </w:r>
      <w:r>
        <w:t xml:space="preserve"> - Correlation identifiers and required audit fields can be emitted in a representative execution.</w:t>
      </w:r>
    </w:p>
    <w:p>
      <w:pPr>
        <w:pStyle w:val="ListParagraph"/>
        <w:numPr>
          <w:ilvl w:val="0"/>
          <w:numId w:val="6"/>
        </w:numPr>
      </w:pPr>
      <w:r>
        <w:t xml:space="preserve">[ ] </w:t>
      </w:r>
      <w:r>
        <w:rPr>
          <w:rStyle w:val="InlineCode"/>
        </w:rPr>
        <w:t xml:space="preserve">OPS-01</w:t>
      </w:r>
      <w:r>
        <w:t xml:space="preserve"> - The kill mechanism and operator access path exist before production-connected testing.</w:t>
      </w:r>
    </w:p>
    <w:p>
      <w:pPr>
        <w:pStyle w:val="ListParagraph"/>
        <w:numPr>
          <w:ilvl w:val="0"/>
          <w:numId w:val="6"/>
        </w:numPr>
      </w:pPr>
      <w:r>
        <w:t xml:space="preserve">[ ] </w:t>
      </w:r>
      <w:r>
        <w:rPr>
          <w:rStyle w:val="InlineCode"/>
        </w:rPr>
        <w:t xml:space="preserve">SUP-01</w:t>
      </w:r>
      <w:r>
        <w:t xml:space="preserve"> - Build provenance, dependency inventory and vulnerability response ownership are present.</w:t>
      </w:r>
    </w:p>
    <w:p>
      <w:pPr>
        <w:pStyle w:val="BodyText"/>
      </w:pPr>
      <w:r>
        <w:rPr>
          <w:b/>
        </w:rPr>
        <w:t xml:space="preserve">Pass condition:</w:t>
      </w:r>
      <w:r>
        <w:t xml:space="preserve"> the technical owner approves the </w:t>
      </w:r>
      <w:r>
        <w:rPr>
          <w:b/>
        </w:rPr>
        <w:t xml:space="preserve">Build-readiness record and version manifest</w:t>
      </w:r>
      <w:r>
        <w:t xml:space="preserve"> and every planned component has an owner and review path.</w:t>
      </w:r>
    </w:p>
    <w:p>
      <w:pPr>
        <w:pStyle w:val="Heading3"/>
      </w:pPr>
      <w:r>
        <w:t xml:space="preserve">L4 - Validation</w:t>
      </w:r>
    </w:p>
    <w:p>
      <w:pPr>
        <w:pStyle w:val="BodyText"/>
      </w:pPr>
      <w:r>
        <w:rPr>
          <w:b/>
        </w:rPr>
        <w:t xml:space="preserve">Decision:</w:t>
      </w:r>
      <w:r>
        <w:t xml:space="preserve"> Does the release candidate meet pre-agreed control and evaluation conditions under representative success, misuse and failure scenarios?</w:t>
      </w:r>
    </w:p>
    <w:p>
      <w:pPr>
        <w:pStyle w:val="ListParagraph"/>
        <w:numPr>
          <w:ilvl w:val="0"/>
          <w:numId w:val="7"/>
        </w:numPr>
      </w:pPr>
      <w:r>
        <w:t xml:space="preserve">[ ] </w:t>
      </w:r>
      <w:r>
        <w:rPr>
          <w:rStyle w:val="InlineCode"/>
        </w:rPr>
        <w:t xml:space="preserve">EVAL-01</w:t>
      </w:r>
      <w:r>
        <w:t xml:space="preserve"> - Acceptance tests run against the approved release candidate and environment.</w:t>
      </w:r>
    </w:p>
    <w:p>
      <w:pPr>
        <w:pStyle w:val="ListParagraph"/>
        <w:numPr>
          <w:ilvl w:val="0"/>
          <w:numId w:val="7"/>
        </w:numPr>
      </w:pPr>
      <w:r>
        <w:t xml:space="preserve">[ ] </w:t>
      </w:r>
      <w:r>
        <w:rPr>
          <w:rStyle w:val="InlineCode"/>
        </w:rPr>
        <w:t xml:space="preserve">EVAL-02</w:t>
      </w:r>
      <w:r>
        <w:t xml:space="preserve"> - Failure, abuse, unsafe action, prompt-injection and boundary scenarios appropriate to the tier are tested.</w:t>
      </w:r>
    </w:p>
    <w:p>
      <w:pPr>
        <w:pStyle w:val="ListParagraph"/>
        <w:numPr>
          <w:ilvl w:val="0"/>
          <w:numId w:val="7"/>
        </w:numPr>
      </w:pPr>
      <w:r>
        <w:t xml:space="preserve">[ ] </w:t>
      </w:r>
      <w:r>
        <w:rPr>
          <w:rStyle w:val="InlineCode"/>
        </w:rPr>
        <w:t xml:space="preserve">IAM-01</w:t>
      </w:r>
      <w:r>
        <w:t xml:space="preserve">, </w:t>
      </w:r>
      <w:r>
        <w:rPr>
          <w:rStyle w:val="InlineCode"/>
        </w:rPr>
        <w:t xml:space="preserve">IAM-02</w:t>
      </w:r>
      <w:r>
        <w:t xml:space="preserve">, </w:t>
      </w:r>
      <w:r>
        <w:rPr>
          <w:rStyle w:val="InlineCode"/>
        </w:rPr>
        <w:t xml:space="preserve">TOOL-01</w:t>
      </w:r>
      <w:r>
        <w:t xml:space="preserve">, </w:t>
      </w:r>
      <w:r>
        <w:rPr>
          <w:rStyle w:val="InlineCode"/>
        </w:rPr>
        <w:t xml:space="preserve">SEC-01</w:t>
      </w:r>
      <w:r>
        <w:t xml:space="preserve">, </w:t>
      </w:r>
      <w:r>
        <w:rPr>
          <w:rStyle w:val="InlineCode"/>
        </w:rPr>
        <w:t xml:space="preserve">DAT-02</w:t>
      </w:r>
      <w:r>
        <w:t xml:space="preserve"> - Positive and negative tests demonstrate the configured boundary rather than a design claim.</w:t>
      </w:r>
    </w:p>
    <w:p>
      <w:pPr>
        <w:pStyle w:val="ListParagraph"/>
        <w:numPr>
          <w:ilvl w:val="0"/>
          <w:numId w:val="7"/>
        </w:numPr>
      </w:pPr>
      <w:r>
        <w:t xml:space="preserve">[ ] </w:t>
      </w:r>
      <w:r>
        <w:rPr>
          <w:rStyle w:val="InlineCode"/>
        </w:rPr>
        <w:t xml:space="preserve">AUD-01</w:t>
      </w:r>
      <w:r>
        <w:t xml:space="preserve"> and </w:t>
      </w:r>
      <w:r>
        <w:rPr>
          <w:rStyle w:val="InlineCode"/>
        </w:rPr>
        <w:t xml:space="preserve">AUD-02</w:t>
      </w:r>
      <w:r>
        <w:t xml:space="preserve"> - Exported events reconstruct representative requests, actions, approvals, outcomes and versions.</w:t>
      </w:r>
    </w:p>
    <w:p>
      <w:pPr>
        <w:pStyle w:val="ListParagraph"/>
        <w:numPr>
          <w:ilvl w:val="0"/>
          <w:numId w:val="7"/>
        </w:numPr>
      </w:pPr>
      <w:r>
        <w:t xml:space="preserve">[ ] </w:t>
      </w:r>
      <w:r>
        <w:rPr>
          <w:rStyle w:val="InlineCode"/>
        </w:rPr>
        <w:t xml:space="preserve">OPS-01</w:t>
      </w:r>
      <w:r>
        <w:t xml:space="preserve">, </w:t>
      </w:r>
      <w:r>
        <w:rPr>
          <w:rStyle w:val="InlineCode"/>
        </w:rPr>
        <w:t xml:space="preserve">OPS-02</w:t>
      </w:r>
      <w:r>
        <w:t xml:space="preserve">, </w:t>
      </w:r>
      <w:r>
        <w:rPr>
          <w:rStyle w:val="InlineCode"/>
        </w:rPr>
        <w:t xml:space="preserve">IR-01</w:t>
      </w:r>
      <w:r>
        <w:t xml:space="preserve"> - Kill, containment, alert, incident and recovery exercises meet the approved conditions.</w:t>
      </w:r>
    </w:p>
    <w:p>
      <w:pPr>
        <w:pStyle w:val="ListParagraph"/>
        <w:numPr>
          <w:ilvl w:val="0"/>
          <w:numId w:val="7"/>
        </w:numPr>
      </w:pPr>
      <w:r>
        <w:t xml:space="preserve">[ ] </w:t>
      </w:r>
      <w:r>
        <w:rPr>
          <w:rStyle w:val="InlineCode"/>
        </w:rPr>
        <w:t xml:space="preserve">BCP-01</w:t>
      </w:r>
      <w:r>
        <w:t xml:space="preserve"> - Recovery objectives and state behavior are tested where required by tier and workflow.</w:t>
      </w:r>
    </w:p>
    <w:p>
      <w:pPr>
        <w:pStyle w:val="ListParagraph"/>
        <w:numPr>
          <w:ilvl w:val="0"/>
          <w:numId w:val="7"/>
        </w:numPr>
      </w:pPr>
      <w:r>
        <w:t xml:space="preserve">[ ] Failures are closed or recorded as current GOV1 exceptions with compensating evidence, expiry and closure tests.</w:t>
      </w:r>
    </w:p>
    <w:p>
      <w:pPr>
        <w:pStyle w:val="BodyText"/>
      </w:pPr>
      <w:r>
        <w:rPr>
          <w:b/>
        </w:rPr>
        <w:t xml:space="preserve">Pass condition:</w:t>
      </w:r>
      <w:r>
        <w:t xml:space="preserve"> independent assurance accepts the </w:t>
      </w:r>
      <w:r>
        <w:rPr>
          <w:b/>
        </w:rPr>
        <w:t xml:space="preserve">Validation report and findings register</w:t>
      </w:r>
      <w:r>
        <w:t xml:space="preserve">. An unknown mandatory result fails.</w:t>
      </w:r>
    </w:p>
    <w:p>
      <w:pPr>
        <w:pStyle w:val="Heading3"/>
      </w:pPr>
      <w:r>
        <w:t xml:space="preserve">L5 - Production approval</w:t>
      </w:r>
    </w:p>
    <w:p>
      <w:pPr>
        <w:pStyle w:val="BodyText"/>
      </w:pPr>
      <w:r>
        <w:rPr>
          <w:b/>
        </w:rPr>
        <w:t xml:space="preserve">Decision:</w:t>
      </w:r>
      <w:r>
        <w:t xml:space="preserve"> Is the exact validated version authorized to operate within its recorded boundary?</w:t>
      </w:r>
    </w:p>
    <w:p>
      <w:pPr>
        <w:pStyle w:val="ListParagraph"/>
        <w:numPr>
          <w:ilvl w:val="0"/>
          <w:numId w:val="8"/>
        </w:numPr>
      </w:pPr>
      <w:r>
        <w:t xml:space="preserve">[ ] </w:t>
      </w:r>
      <w:r>
        <w:rPr>
          <w:rStyle w:val="InlineCode"/>
        </w:rPr>
        <w:t xml:space="preserve">GOV-01</w:t>
      </w:r>
      <w:r>
        <w:t xml:space="preserve"> and </w:t>
      </w:r>
      <w:r>
        <w:rPr>
          <w:rStyle w:val="InlineCode"/>
        </w:rPr>
        <w:t xml:space="preserve">GOV-02</w:t>
      </w:r>
      <w:r>
        <w:t xml:space="preserve"> - Registry, owners, tier, approvals and review date are complete and current.</w:t>
      </w:r>
    </w:p>
    <w:p>
      <w:pPr>
        <w:pStyle w:val="ListParagraph"/>
        <w:numPr>
          <w:ilvl w:val="0"/>
          <w:numId w:val="8"/>
        </w:numPr>
      </w:pPr>
      <w:r>
        <w:t xml:space="preserve">[ ] </w:t>
      </w:r>
      <w:r>
        <w:rPr>
          <w:rStyle w:val="InlineCode"/>
        </w:rPr>
        <w:t xml:space="preserve">CFG-01</w:t>
      </w:r>
      <w:r>
        <w:t xml:space="preserve"> - Production authorization resolves to the tested version and environment.</w:t>
      </w:r>
    </w:p>
    <w:p>
      <w:pPr>
        <w:pStyle w:val="ListParagraph"/>
        <w:numPr>
          <w:ilvl w:val="0"/>
          <w:numId w:val="8"/>
        </w:numPr>
      </w:pPr>
      <w:r>
        <w:t xml:space="preserve">[ ] </w:t>
      </w:r>
      <w:r>
        <w:rPr>
          <w:rStyle w:val="InlineCode"/>
        </w:rPr>
        <w:t xml:space="preserve">EVAL-01</w:t>
      </w:r>
      <w:r>
        <w:t xml:space="preserve"> - Acceptance results meet approved thresholds.</w:t>
      </w:r>
    </w:p>
    <w:p>
      <w:pPr>
        <w:pStyle w:val="ListParagraph"/>
        <w:numPr>
          <w:ilvl w:val="0"/>
          <w:numId w:val="8"/>
        </w:numPr>
      </w:pPr>
      <w:r>
        <w:t xml:space="preserve">[ ] </w:t>
      </w:r>
      <w:r>
        <w:rPr>
          <w:rStyle w:val="InlineCode"/>
        </w:rPr>
        <w:t xml:space="preserve">AUD-01</w:t>
      </w:r>
      <w:r>
        <w:t xml:space="preserve">, </w:t>
      </w:r>
      <w:r>
        <w:rPr>
          <w:rStyle w:val="InlineCode"/>
        </w:rPr>
        <w:t xml:space="preserve">AUD-02</w:t>
      </w:r>
      <w:r>
        <w:t xml:space="preserve">, </w:t>
      </w:r>
      <w:r>
        <w:rPr>
          <w:rStyle w:val="InlineCode"/>
        </w:rPr>
        <w:t xml:space="preserve">OPS-01</w:t>
      </w:r>
      <w:r>
        <w:t xml:space="preserve">, </w:t>
      </w:r>
      <w:r>
        <w:rPr>
          <w:rStyle w:val="InlineCode"/>
        </w:rPr>
        <w:t xml:space="preserve">OPS-02</w:t>
      </w:r>
      <w:r>
        <w:t xml:space="preserve">, </w:t>
      </w:r>
      <w:r>
        <w:rPr>
          <w:rStyle w:val="InlineCode"/>
        </w:rPr>
        <w:t xml:space="preserve">IR-01</w:t>
      </w:r>
      <w:r>
        <w:t xml:space="preserve"> - Operations accepts logging, monitoring, kill and incident runbooks.</w:t>
      </w:r>
    </w:p>
    <w:p>
      <w:pPr>
        <w:pStyle w:val="ListParagraph"/>
        <w:numPr>
          <w:ilvl w:val="0"/>
          <w:numId w:val="8"/>
        </w:numPr>
      </w:pPr>
      <w:r>
        <w:t xml:space="preserve">[ ] Every exception is unexpired, approved at the required authority and linked to monitoring and suspension conditions.</w:t>
      </w:r>
    </w:p>
    <w:p>
      <w:pPr>
        <w:pStyle w:val="ListParagraph"/>
        <w:numPr>
          <w:ilvl w:val="0"/>
          <w:numId w:val="8"/>
        </w:numPr>
      </w:pPr>
      <w:r>
        <w:t xml:space="preserve">[ ] Required data, regulatory and residual-risk decisions are present.</w:t>
      </w:r>
    </w:p>
    <w:p>
      <w:pPr>
        <w:pStyle w:val="BodyText"/>
      </w:pPr>
      <w:r>
        <w:rPr>
          <w:b/>
        </w:rPr>
        <w:t xml:space="preserve">Pass condition:</w:t>
      </w:r>
      <w:r>
        <w:t xml:space="preserve"> the GOV1 decision-makers sign the </w:t>
      </w:r>
      <w:r>
        <w:rPr>
          <w:b/>
        </w:rPr>
        <w:t xml:space="preserve">Production authorization record</w:t>
      </w:r>
      <w:r>
        <w:t xml:space="preserve"> for the exact version and boundary. Conditions that defer a mandatory unknown do not constitute a pass.</w:t>
      </w:r>
    </w:p>
    <w:p>
      <w:pPr>
        <w:pStyle w:val="Heading3"/>
      </w:pPr>
      <w:r>
        <w:t xml:space="preserve">L6 - Operation and change</w:t>
      </w:r>
    </w:p>
    <w:p>
      <w:pPr>
        <w:pStyle w:val="BodyText"/>
      </w:pPr>
      <w:r>
        <w:rPr>
          <w:b/>
        </w:rPr>
        <w:t xml:space="preserve">Decision:</w:t>
      </w:r>
      <w:r>
        <w:t xml:space="preserve"> Does current operating evidence support continued use, and has every material change been routed correctly?</w:t>
      </w:r>
    </w:p>
    <w:p>
      <w:pPr>
        <w:pStyle w:val="ListParagraph"/>
        <w:numPr>
          <w:ilvl w:val="0"/>
          <w:numId w:val="9"/>
        </w:numPr>
      </w:pPr>
      <w:r>
        <w:t xml:space="preserve">[ ] </w:t>
      </w:r>
      <w:r>
        <w:rPr>
          <w:rStyle w:val="InlineCode"/>
        </w:rPr>
        <w:t xml:space="preserve">OPS-02</w:t>
      </w:r>
      <w:r>
        <w:t xml:space="preserve"> - Reliability, quality, security, autonomy, cost and governance evidence required by the approved design is reviewed at the tier cadence.</w:t>
      </w:r>
    </w:p>
    <w:p>
      <w:pPr>
        <w:pStyle w:val="ListParagraph"/>
        <w:numPr>
          <w:ilvl w:val="0"/>
          <w:numId w:val="9"/>
        </w:numPr>
      </w:pPr>
      <w:r>
        <w:t xml:space="preserve">[ ] </w:t>
      </w:r>
      <w:r>
        <w:rPr>
          <w:rStyle w:val="InlineCode"/>
        </w:rPr>
        <w:t xml:space="preserve">AUD-01</w:t>
      </w:r>
      <w:r>
        <w:t xml:space="preserve"> and </w:t>
      </w:r>
      <w:r>
        <w:rPr>
          <w:rStyle w:val="InlineCode"/>
        </w:rPr>
        <w:t xml:space="preserve">AUD-02</w:t>
      </w:r>
      <w:r>
        <w:t xml:space="preserve"> - Event completeness, export, retention and access controls remain effective.</w:t>
      </w:r>
    </w:p>
    <w:p>
      <w:pPr>
        <w:pStyle w:val="ListParagraph"/>
        <w:numPr>
          <w:ilvl w:val="0"/>
          <w:numId w:val="9"/>
        </w:numPr>
      </w:pPr>
      <w:r>
        <w:t xml:space="preserve">[ ] </w:t>
      </w:r>
      <w:r>
        <w:rPr>
          <w:rStyle w:val="InlineCode"/>
        </w:rPr>
        <w:t xml:space="preserve">CFG-02</w:t>
      </w:r>
      <w:r>
        <w:t xml:space="preserve"> - Deployed versions match approvals and changes are attributable.</w:t>
      </w:r>
    </w:p>
    <w:p>
      <w:pPr>
        <w:pStyle w:val="ListParagraph"/>
        <w:numPr>
          <w:ilvl w:val="0"/>
          <w:numId w:val="9"/>
        </w:numPr>
      </w:pPr>
      <w:r>
        <w:t xml:space="preserve">[ ] </w:t>
      </w:r>
      <w:r>
        <w:rPr>
          <w:rStyle w:val="InlineCode"/>
        </w:rPr>
        <w:t xml:space="preserve">EVAL-01</w:t>
      </w:r>
      <w:r>
        <w:t xml:space="preserve"> and </w:t>
      </w:r>
      <w:r>
        <w:rPr>
          <w:rStyle w:val="InlineCode"/>
        </w:rPr>
        <w:t xml:space="preserve">EVAL-02</w:t>
      </w:r>
      <w:r>
        <w:t xml:space="preserve"> - Required regression and production evaluations are current.</w:t>
      </w:r>
    </w:p>
    <w:p>
      <w:pPr>
        <w:pStyle w:val="ListParagraph"/>
        <w:numPr>
          <w:ilvl w:val="0"/>
          <w:numId w:val="9"/>
        </w:numPr>
      </w:pPr>
      <w:r>
        <w:t xml:space="preserve">[ ] </w:t>
      </w:r>
      <w:r>
        <w:rPr>
          <w:rStyle w:val="InlineCode"/>
        </w:rPr>
        <w:t xml:space="preserve">GOV-02</w:t>
      </w:r>
      <w:r>
        <w:t xml:space="preserve"> - Ownership, tier, purpose, applicability and exceptions remain current.</w:t>
      </w:r>
    </w:p>
    <w:p>
      <w:pPr>
        <w:pStyle w:val="ListParagraph"/>
        <w:numPr>
          <w:ilvl w:val="0"/>
          <w:numId w:val="9"/>
        </w:numPr>
      </w:pPr>
      <w:r>
        <w:t xml:space="preserve">[ ] </w:t>
      </w:r>
      <w:r>
        <w:rPr>
          <w:rStyle w:val="InlineCode"/>
        </w:rPr>
        <w:t xml:space="preserve">IR-01</w:t>
      </w:r>
      <w:r>
        <w:t xml:space="preserve"> - Incidents, repeated failures and corrective actions are open, owned and escalated.</w:t>
      </w:r>
    </w:p>
    <w:p>
      <w:pPr>
        <w:pStyle w:val="ListParagraph"/>
        <w:numPr>
          <w:ilvl w:val="0"/>
          <w:numId w:val="9"/>
        </w:numPr>
      </w:pPr>
      <w:r>
        <w:t xml:space="preserve">[ ] Each material change is routed to the earliest lifecycle gate whose evidence is no longer valid before release.</w:t>
      </w:r>
    </w:p>
    <w:p>
      <w:pPr>
        <w:pStyle w:val="BodyText"/>
      </w:pPr>
      <w:r>
        <w:rPr>
          <w:b/>
        </w:rPr>
        <w:t xml:space="preserve">Pass condition:</w:t>
      </w:r>
      <w:r>
        <w:t xml:space="preserve"> the </w:t>
      </w:r>
      <w:r>
        <w:rPr>
          <w:b/>
        </w:rPr>
        <w:t xml:space="preserve">Periodic governance review and change-classification record</w:t>
      </w:r>
      <w:r>
        <w:t xml:space="preserve"> supports continued operation. Otherwise suspend, restrict or route back.</w:t>
      </w:r>
    </w:p>
    <w:p>
      <w:pPr>
        <w:pStyle w:val="Heading3"/>
      </w:pPr>
      <w:r>
        <w:t xml:space="preserve">L7 - Suspension and restart</w:t>
      </w:r>
    </w:p>
    <w:p>
      <w:pPr>
        <w:pStyle w:val="BodyText"/>
      </w:pPr>
      <w:r>
        <w:rPr>
          <w:b/>
        </w:rPr>
        <w:t xml:space="preserve">Decision:</w:t>
      </w:r>
      <w:r>
        <w:t xml:space="preserve"> Has action authority been contained, evidence preserved and the restart independently authorized?</w:t>
      </w:r>
    </w:p>
    <w:p>
      <w:pPr>
        <w:pStyle w:val="ListParagraph"/>
        <w:numPr>
          <w:ilvl w:val="0"/>
          <w:numId w:val="10"/>
        </w:numPr>
      </w:pPr>
      <w:r>
        <w:t xml:space="preserve">[ ] </w:t>
      </w:r>
      <w:r>
        <w:rPr>
          <w:rStyle w:val="InlineCode"/>
        </w:rPr>
        <w:t xml:space="preserve">OPS-01</w:t>
      </w:r>
      <w:r>
        <w:t xml:space="preserve"> - The agent or its action authority is disabled; queued and in-flight work is accounted for.</w:t>
      </w:r>
    </w:p>
    <w:p>
      <w:pPr>
        <w:pStyle w:val="ListParagraph"/>
        <w:numPr>
          <w:ilvl w:val="0"/>
          <w:numId w:val="10"/>
        </w:numPr>
      </w:pPr>
      <w:r>
        <w:t xml:space="preserve">[ ] </w:t>
      </w:r>
      <w:r>
        <w:rPr>
          <w:rStyle w:val="InlineCode"/>
        </w:rPr>
        <w:t xml:space="preserve">IR-01</w:t>
      </w:r>
      <w:r>
        <w:t xml:space="preserve"> - Scope, impact, timeline, affected identities, data and actions are preserved and investigated.</w:t>
      </w:r>
    </w:p>
    <w:p>
      <w:pPr>
        <w:pStyle w:val="ListParagraph"/>
        <w:numPr>
          <w:ilvl w:val="0"/>
          <w:numId w:val="10"/>
        </w:numPr>
      </w:pPr>
      <w:r>
        <w:t xml:space="preserve">[ ] Credentials, sessions, tools and egress are revoked or constrained as the incident requires.</w:t>
      </w:r>
    </w:p>
    <w:p>
      <w:pPr>
        <w:pStyle w:val="ListParagraph"/>
        <w:numPr>
          <w:ilvl w:val="0"/>
          <w:numId w:val="10"/>
        </w:numPr>
      </w:pPr>
      <w:r>
        <w:t xml:space="preserve">[ ] Corrective actions and compensating controls are implemented and tested.</w:t>
      </w:r>
    </w:p>
    <w:p>
      <w:pPr>
        <w:pStyle w:val="ListParagraph"/>
        <w:numPr>
          <w:ilvl w:val="0"/>
          <w:numId w:val="10"/>
        </w:numPr>
      </w:pPr>
      <w:r>
        <w:t xml:space="preserve">[ ] </w:t>
      </w:r>
      <w:r>
        <w:rPr>
          <w:rStyle w:val="InlineCode"/>
        </w:rPr>
        <w:t xml:space="preserve">CFG-01</w:t>
      </w:r>
      <w:r>
        <w:t xml:space="preserve"> identifies the restart candidate; </w:t>
      </w:r>
      <w:r>
        <w:rPr>
          <w:rStyle w:val="InlineCode"/>
        </w:rPr>
        <w:t xml:space="preserve">EVAL-01</w:t>
      </w:r>
      <w:r>
        <w:t xml:space="preserve"> and </w:t>
      </w:r>
      <w:r>
        <w:rPr>
          <w:rStyle w:val="InlineCode"/>
        </w:rPr>
        <w:t xml:space="preserve">EVAL-02</w:t>
      </w:r>
      <w:r>
        <w:t xml:space="preserve"> provide re-validation evidence.</w:t>
      </w:r>
    </w:p>
    <w:p>
      <w:pPr>
        <w:pStyle w:val="ListParagraph"/>
        <w:numPr>
          <w:ilvl w:val="0"/>
          <w:numId w:val="10"/>
        </w:numPr>
      </w:pPr>
      <w:r>
        <w:t xml:space="preserve">[ ] Restart uses the production authority required by GOV1 tier and does not rely only on the operator who performed containment.</w:t>
      </w:r>
    </w:p>
    <w:p>
      <w:pPr>
        <w:pStyle w:val="BodyText"/>
      </w:pPr>
      <w:r>
        <w:rPr>
          <w:b/>
        </w:rPr>
        <w:t xml:space="preserve">Pass condition:</w:t>
      </w:r>
      <w:r>
        <w:t xml:space="preserve"> the </w:t>
      </w:r>
      <w:r>
        <w:rPr>
          <w:b/>
        </w:rPr>
        <w:t xml:space="preserve">Suspension, incident and restart authorization record</w:t>
      </w:r>
      <w:r>
        <w:t xml:space="preserve"> shows containment, impact assessment, corrective action, re-validation and authorized restart. Otherwise remain suspended.</w:t>
      </w:r>
    </w:p>
    <w:p>
      <w:pPr>
        <w:pStyle w:val="Heading3"/>
      </w:pPr>
      <w:r>
        <w:t xml:space="preserve">L8 - Retirement</w:t>
      </w:r>
    </w:p>
    <w:p>
      <w:pPr>
        <w:pStyle w:val="BodyText"/>
      </w:pPr>
      <w:r>
        <w:rPr>
          <w:b/>
        </w:rPr>
        <w:t xml:space="preserve">Decision:</w:t>
      </w:r>
      <w:r>
        <w:t xml:space="preserve"> Have action authority, access, scheduled work, data and evidence been closed or transferred under approved rules?</w:t>
      </w:r>
    </w:p>
    <w:p>
      <w:pPr>
        <w:pStyle w:val="ListParagraph"/>
        <w:numPr>
          <w:ilvl w:val="0"/>
          <w:numId w:val="11"/>
        </w:numPr>
      </w:pPr>
      <w:r>
        <w:t xml:space="preserve">[ ] </w:t>
      </w:r>
      <w:r>
        <w:rPr>
          <w:rStyle w:val="InlineCode"/>
        </w:rPr>
        <w:t xml:space="preserve">RET-01</w:t>
      </w:r>
      <w:r>
        <w:t xml:space="preserve"> - Deployments, triggers, queues, integrations and credentials are disabled or revoked.</w:t>
      </w:r>
    </w:p>
    <w:p>
      <w:pPr>
        <w:pStyle w:val="ListParagraph"/>
        <w:numPr>
          <w:ilvl w:val="0"/>
          <w:numId w:val="11"/>
        </w:numPr>
      </w:pPr>
      <w:r>
        <w:t xml:space="preserve">[ ] </w:t>
      </w:r>
      <w:r>
        <w:rPr>
          <w:rStyle w:val="InlineCode"/>
        </w:rPr>
        <w:t xml:space="preserve">EXIT-01</w:t>
      </w:r>
      <w:r>
        <w:t xml:space="preserve"> - Required configuration, logs, traces, evaluations, approvals and control evidence are exported and retrievable by the client.</w:t>
      </w:r>
    </w:p>
    <w:p>
      <w:pPr>
        <w:pStyle w:val="ListParagraph"/>
        <w:numPr>
          <w:ilvl w:val="0"/>
          <w:numId w:val="11"/>
        </w:numPr>
      </w:pPr>
      <w:r>
        <w:t xml:space="preserve">[ ] Data, memory, logs, backups and evidence are deleted or archived under approved retention and legal-hold rules.</w:t>
      </w:r>
    </w:p>
    <w:p>
      <w:pPr>
        <w:pStyle w:val="ListParagraph"/>
        <w:numPr>
          <w:ilvl w:val="0"/>
          <w:numId w:val="11"/>
        </w:numPr>
      </w:pPr>
      <w:r>
        <w:t xml:space="preserve">[ ] Users, owners, downstream systems and suppliers are notified where required.</w:t>
      </w:r>
    </w:p>
    <w:p>
      <w:pPr>
        <w:pStyle w:val="ListParagraph"/>
        <w:numPr>
          <w:ilvl w:val="0"/>
          <w:numId w:val="11"/>
        </w:numPr>
      </w:pPr>
      <w:r>
        <w:t xml:space="preserve">[ ] Residual dependencies, contractual restrictions and unverified deletion obligations remain explicit.</w:t>
      </w:r>
    </w:p>
    <w:p>
      <w:pPr>
        <w:pStyle w:val="ListParagraph"/>
        <w:numPr>
          <w:ilvl w:val="0"/>
          <w:numId w:val="11"/>
        </w:numPr>
      </w:pPr>
      <w:r>
        <w:t xml:space="preserve">[ ] The registry record is closed but remains discoverable for its approved retention period.</w:t>
      </w:r>
    </w:p>
    <w:p>
      <w:pPr>
        <w:pStyle w:val="BodyText"/>
      </w:pPr>
      <w:r>
        <w:rPr>
          <w:b/>
        </w:rPr>
        <w:t xml:space="preserve">Pass condition:</w:t>
      </w:r>
      <w:r>
        <w:t xml:space="preserve"> the accountable GOV1 roles approve the </w:t>
      </w:r>
      <w:r>
        <w:rPr>
          <w:b/>
        </w:rPr>
        <w:t xml:space="preserve">Retirement attestation and archived registry record</w:t>
      </w:r>
      <w:r>
        <w:t xml:space="preserve">. An unsupported deletion or revocation claim remains an open retirement finding.</w:t>
      </w:r>
    </w:p>
    <w:p>
      <w:pPr>
        <w:pStyle w:val="Heading2"/>
      </w:pPr>
      <w:r>
        <w:t xml:space="preserve">6. Cross-cutting control families</w:t>
      </w:r>
    </w:p>
    <w:p>
      <w:pPr>
        <w:pStyle w:val="BodyText"/>
      </w:pPr>
      <w:r>
        <w:t xml:space="preserve">The controls below are Alpha AI requirements. The minimum tier is a starting point; section 3 may raise applicability or evidence depth.</w:t>
      </w:r>
    </w:p>
    <w:p>
      <w:pPr>
        <w:pStyle w:val="Heading3"/>
      </w:pPr>
      <w:r>
        <w:t xml:space="preserve">Governance, data and identity</w:t>
      </w:r>
    </w:p>
    <w:tbl>
      <w:tblPr>
        <w:tblStyle w:val="ContentTable"/>
        <w:tblW w:w="9720" w:type="dxa"/>
        <w:tblLayout w:type="fixed"/>
        <w:tblLook w:val="04A0" w:firstRow="1" w:lastRow="0" w:firstColumn="0" w:lastColumn="0" w:noHBand="0" w:noVBand="1"/>
      </w:tblPr>
      <w:tblGrid>
        <w:gridCol w:w="560"/>
        <w:gridCol w:w="560"/>
        <w:gridCol w:w="3186"/>
        <w:gridCol w:w="560"/>
        <w:gridCol w:w="2865"/>
        <w:gridCol w:w="2004"/>
        <w:gridCol w:w="-15"/>
      </w:tblGrid>
      <w:tr>
        <w:trPr>
          <w:tblHeader/>
        </w:trPr>
        <w:tc>
          <w:tcPr>
            <w:tcW w:w="560" w:type="dxa"/>
            <w:shd w:val="clear" w:color="auto" w:fill="F5F0E7"/>
          </w:tcPr>
          <w:p>
            <w:pPr>
              <w:pStyle w:val="TableHeaderCompact"/>
            </w:pPr>
            <w:r>
              <w:t xml:space="preserve">ID</w:t>
            </w:r>
          </w:p>
        </w:tc>
        <w:tc>
          <w:tcPr>
            <w:tcW w:w="560" w:type="dxa"/>
            <w:shd w:val="clear" w:color="auto" w:fill="F5F0E7"/>
          </w:tcPr>
          <w:p>
            <w:pPr>
              <w:pStyle w:val="TableHeaderCompact"/>
            </w:pPr>
            <w:r>
              <w:t xml:space="preserve">Min. tier</w:t>
            </w:r>
          </w:p>
        </w:tc>
        <w:tc>
          <w:tcPr>
            <w:tcW w:w="3186" w:type="dxa"/>
            <w:shd w:val="clear" w:color="auto" w:fill="F5F0E7"/>
          </w:tcPr>
          <w:p>
            <w:pPr>
              <w:pStyle w:val="TableHeaderCompact"/>
            </w:pPr>
            <w:r>
              <w:t xml:space="preserve">Requirement</w:t>
            </w:r>
          </w:p>
        </w:tc>
        <w:tc>
          <w:tcPr>
            <w:tcW w:w="560" w:type="dxa"/>
            <w:shd w:val="clear" w:color="auto" w:fill="F5F0E7"/>
          </w:tcPr>
          <w:p>
            <w:pPr>
              <w:pStyle w:val="TableHeaderCompact"/>
            </w:pPr>
            <w:r>
              <w:t xml:space="preserve">Accountable owner</w:t>
            </w:r>
          </w:p>
        </w:tc>
        <w:tc>
          <w:tcPr>
            <w:tcW w:w="2865" w:type="dxa"/>
            <w:shd w:val="clear" w:color="auto" w:fill="F5F0E7"/>
          </w:tcPr>
          <w:p>
            <w:pPr>
              <w:pStyle w:val="TableHeaderCompact"/>
            </w:pPr>
            <w:r>
              <w:t xml:space="preserve">Test and binary pass condition</w:t>
            </w:r>
          </w:p>
        </w:tc>
        <w:tc>
          <w:tcPr>
            <w:tcW w:w="2004" w:type="dxa"/>
            <w:shd w:val="clear" w:color="auto" w:fill="F5F0E7"/>
          </w:tcPr>
          <w:p>
            <w:pPr>
              <w:pStyle w:val="TableHeaderCompact"/>
            </w:pPr>
            <w:r>
              <w:t xml:space="preserve">Minimum retained evidence</w:t>
            </w:r>
          </w:p>
        </w:tc>
        <w:tc>
          <w:tcPr>
            <w:tcW w:w="-15" w:type="dxa"/>
            <w:shd w:val="clear" w:color="auto" w:fill="F5F0E7"/>
          </w:tcPr>
          <w:p>
            <w:pPr>
              <w:pStyle w:val="TableHeaderCompact"/>
            </w:pPr>
            <w:r>
              <w:t xml:space="preserve">Cadence</w:t>
            </w:r>
          </w:p>
        </w:tc>
      </w:tr>
      <w:tr>
        <w:tc>
          <w:tcPr>
            <w:tcW w:w="560" w:type="dxa"/>
          </w:tcPr>
          <w:p>
            <w:pPr>
              <w:pStyle w:val="TableBodyCompact"/>
            </w:pPr>
            <w:r>
              <w:rPr>
                <w:rStyle w:val="InlineCode"/>
              </w:rPr>
              <w:t xml:space="preserve">GOV-01</w:t>
            </w:r>
          </w:p>
        </w:tc>
        <w:tc>
          <w:tcPr>
            <w:tcW w:w="560" w:type="dxa"/>
          </w:tcPr>
          <w:p>
            <w:pPr>
              <w:pStyle w:val="TableBodyCompact"/>
            </w:pPr>
            <w:r>
              <w:t xml:space="preserve">T1+</w:t>
            </w:r>
          </w:p>
        </w:tc>
        <w:tc>
          <w:tcPr>
            <w:tcW w:w="3186" w:type="dxa"/>
          </w:tcPr>
          <w:p>
            <w:pPr>
              <w:pStyle w:val="TableBodyCompact"/>
            </w:pPr>
            <w:r>
              <w:t xml:space="preserve">Maintain one authoritative agent record with current purpose, status, environment, tier, owners, approvals and evidence links</w:t>
            </w:r>
          </w:p>
        </w:tc>
        <w:tc>
          <w:tcPr>
            <w:tcW w:w="560" w:type="dxa"/>
          </w:tcPr>
          <w:p>
            <w:pPr>
              <w:pStyle w:val="TableBodyCompact"/>
            </w:pPr>
            <w:r>
              <w:t xml:space="preserve">Registry custodian</w:t>
            </w:r>
          </w:p>
        </w:tc>
        <w:tc>
          <w:tcPr>
            <w:tcW w:w="2865" w:type="dxa"/>
          </w:tcPr>
          <w:p>
            <w:pPr>
              <w:pStyle w:val="TableBodyCompact"/>
            </w:pPr>
            <w:r>
              <w:t xml:space="preserve">Inspect record and source systems; pass only when required fields resolve to current named owners and artifacts</w:t>
            </w:r>
          </w:p>
        </w:tc>
        <w:tc>
          <w:tcPr>
            <w:tcW w:w="2004" w:type="dxa"/>
          </w:tcPr>
          <w:p>
            <w:pPr>
              <w:pStyle w:val="TableBodyCompact"/>
            </w:pPr>
            <w:r>
              <w:t xml:space="preserve">Registry export; owner attestations; evidence links</w:t>
            </w:r>
          </w:p>
        </w:tc>
        <w:tc>
          <w:tcPr>
            <w:tcW w:w="-15" w:type="dxa"/>
          </w:tcPr>
          <w:p>
            <w:pPr>
              <w:pStyle w:val="TableBodyCompact"/>
            </w:pPr>
            <w:r>
              <w:t xml:space="preserve">Each lifecycle decision; periodic review</w:t>
            </w:r>
          </w:p>
        </w:tc>
      </w:tr>
      <w:tr>
        <w:tc>
          <w:tcPr>
            <w:tcW w:w="560" w:type="dxa"/>
          </w:tcPr>
          <w:p>
            <w:pPr>
              <w:pStyle w:val="TableBodyCompact"/>
            </w:pPr>
            <w:r>
              <w:rPr>
                <w:rStyle w:val="InlineCode"/>
              </w:rPr>
              <w:t xml:space="preserve">GOV-02</w:t>
            </w:r>
          </w:p>
        </w:tc>
        <w:tc>
          <w:tcPr>
            <w:tcW w:w="560" w:type="dxa"/>
          </w:tcPr>
          <w:p>
            <w:pPr>
              <w:pStyle w:val="TableBodyCompact"/>
            </w:pPr>
            <w:r>
              <w:t xml:space="preserve">T1+</w:t>
            </w:r>
          </w:p>
        </w:tc>
        <w:tc>
          <w:tcPr>
            <w:tcW w:w="3186" w:type="dxa"/>
          </w:tcPr>
          <w:p>
            <w:pPr>
              <w:pStyle w:val="TableBodyCompact"/>
            </w:pPr>
            <w:r>
              <w:t xml:space="preserve">Record purpose, prohibited use, affected parties, tier rationale, applicability, exceptions and material-change triggers</w:t>
            </w:r>
          </w:p>
        </w:tc>
        <w:tc>
          <w:tcPr>
            <w:tcW w:w="560" w:type="dxa"/>
          </w:tcPr>
          <w:p>
            <w:pPr>
              <w:pStyle w:val="TableBodyCompact"/>
            </w:pPr>
            <w:r>
              <w:t xml:space="preserve">Accountable business owner</w:t>
            </w:r>
          </w:p>
        </w:tc>
        <w:tc>
          <w:tcPr>
            <w:tcW w:w="2865" w:type="dxa"/>
          </w:tcPr>
          <w:p>
            <w:pPr>
              <w:pStyle w:val="TableBodyCompact"/>
            </w:pPr>
            <w:r>
              <w:t xml:space="preserve">Challenge representative use and change scenarios; pass only when each is permitted, prohibited or routed to an owner</w:t>
            </w:r>
          </w:p>
        </w:tc>
        <w:tc>
          <w:tcPr>
            <w:tcW w:w="2004" w:type="dxa"/>
          </w:tcPr>
          <w:p>
            <w:pPr>
              <w:pStyle w:val="TableBodyCompact"/>
            </w:pPr>
            <w:r>
              <w:t xml:space="preserve">Risk-context record; applicability record; exception register</w:t>
            </w:r>
          </w:p>
        </w:tc>
        <w:tc>
          <w:tcPr>
            <w:tcW w:w="-15" w:type="dxa"/>
          </w:tcPr>
          <w:p>
            <w:pPr>
              <w:pStyle w:val="TableBodyCompact"/>
            </w:pPr>
            <w:r>
              <w:t xml:space="preserve">Intake; material change; periodic review</w:t>
            </w:r>
          </w:p>
        </w:tc>
      </w:tr>
      <w:tr>
        <w:tc>
          <w:tcPr>
            <w:tcW w:w="560" w:type="dxa"/>
          </w:tcPr>
          <w:p>
            <w:pPr>
              <w:pStyle w:val="TableBodyCompact"/>
            </w:pPr>
            <w:r>
              <w:rPr>
                <w:rStyle w:val="InlineCode"/>
              </w:rPr>
              <w:t xml:space="preserve">DAT-01</w:t>
            </w:r>
          </w:p>
        </w:tc>
        <w:tc>
          <w:tcPr>
            <w:tcW w:w="560" w:type="dxa"/>
          </w:tcPr>
          <w:p>
            <w:pPr>
              <w:pStyle w:val="TableBodyCompact"/>
            </w:pPr>
            <w:r>
              <w:t xml:space="preserve">T1+</w:t>
            </w:r>
          </w:p>
        </w:tc>
        <w:tc>
          <w:tcPr>
            <w:tcW w:w="3186" w:type="dxa"/>
          </w:tcPr>
          <w:p>
            <w:pPr>
              <w:pStyle w:val="TableBodyCompact"/>
            </w:pPr>
            <w:r>
              <w:t xml:space="preserve">Inventory data classes, sources, purposes, affected parties and persistence locations</w:t>
            </w:r>
          </w:p>
        </w:tc>
        <w:tc>
          <w:tcPr>
            <w:tcW w:w="560" w:type="dxa"/>
          </w:tcPr>
          <w:p>
            <w:pPr>
              <w:pStyle w:val="TableBodyCompact"/>
            </w:pPr>
            <w:r>
              <w:t xml:space="preserve">Data accountability owner</w:t>
            </w:r>
          </w:p>
        </w:tc>
        <w:tc>
          <w:tcPr>
            <w:tcW w:w="2865" w:type="dxa"/>
          </w:tcPr>
          <w:p>
            <w:pPr>
              <w:pStyle w:val="TableBodyCompact"/>
            </w:pPr>
            <w:r>
              <w:t xml:space="preserve">Trace representative inputs and outputs; pass only when each data path has an approved purpose and owner</w:t>
            </w:r>
          </w:p>
        </w:tc>
        <w:tc>
          <w:tcPr>
            <w:tcW w:w="2004" w:type="dxa"/>
          </w:tcPr>
          <w:p>
            <w:pPr>
              <w:pStyle w:val="TableBodyCompact"/>
            </w:pPr>
            <w:r>
              <w:t xml:space="preserve">Data inventory; source approvals; flow diagram</w:t>
            </w:r>
          </w:p>
        </w:tc>
        <w:tc>
          <w:tcPr>
            <w:tcW w:w="-15" w:type="dxa"/>
          </w:tcPr>
          <w:p>
            <w:pPr>
              <w:pStyle w:val="TableBodyCompact"/>
            </w:pPr>
            <w:r>
              <w:t xml:space="preserve">Design; material change</w:t>
            </w:r>
          </w:p>
        </w:tc>
      </w:tr>
      <w:tr>
        <w:tc>
          <w:tcPr>
            <w:tcW w:w="560" w:type="dxa"/>
          </w:tcPr>
          <w:p>
            <w:pPr>
              <w:pStyle w:val="TableBodyCompact"/>
            </w:pPr>
            <w:r>
              <w:rPr>
                <w:rStyle w:val="InlineCode"/>
              </w:rPr>
              <w:t xml:space="preserve">DAT-02</w:t>
            </w:r>
          </w:p>
        </w:tc>
        <w:tc>
          <w:tcPr>
            <w:tcW w:w="560" w:type="dxa"/>
          </w:tcPr>
          <w:p>
            <w:pPr>
              <w:pStyle w:val="TableBodyCompact"/>
            </w:pPr>
            <w:r>
              <w:t xml:space="preserve">T1+</w:t>
            </w:r>
          </w:p>
        </w:tc>
        <w:tc>
          <w:tcPr>
            <w:tcW w:w="3186" w:type="dxa"/>
          </w:tcPr>
          <w:p>
            <w:pPr>
              <w:pStyle w:val="TableBodyCompact"/>
            </w:pPr>
            <w:r>
              <w:t xml:space="preserve">Enforce approved isolation, access, retention, deletion, residency and operator-access boundaries across prompt, state, files, traces, logs, caches and backups</w:t>
            </w:r>
          </w:p>
        </w:tc>
        <w:tc>
          <w:tcPr>
            <w:tcW w:w="560" w:type="dxa"/>
          </w:tcPr>
          <w:p>
            <w:pPr>
              <w:pStyle w:val="TableBodyCompact"/>
            </w:pPr>
            <w:r>
              <w:t xml:space="preserve">Data accountability owner</w:t>
            </w:r>
          </w:p>
        </w:tc>
        <w:tc>
          <w:tcPr>
            <w:tcW w:w="2865" w:type="dxa"/>
          </w:tcPr>
          <w:p>
            <w:pPr>
              <w:pStyle w:val="TableBodyCompact"/>
            </w:pPr>
            <w:r>
              <w:t xml:space="preserve">Run isolation and lifecycle tests; pass only when allowed access succeeds, denied access fails and retention/deletion behavior matches approval</w:t>
            </w:r>
          </w:p>
        </w:tc>
        <w:tc>
          <w:tcPr>
            <w:tcW w:w="2004" w:type="dxa"/>
          </w:tcPr>
          <w:p>
            <w:pPr>
              <w:pStyle w:val="TableBodyCompact"/>
            </w:pPr>
            <w:r>
              <w:t xml:space="preserve">Configuration export; isolation test; deletion/retention test; unresolved shared-service assumptions</w:t>
            </w:r>
          </w:p>
        </w:tc>
        <w:tc>
          <w:tcPr>
            <w:tcW w:w="-15" w:type="dxa"/>
          </w:tcPr>
          <w:p>
            <w:pPr>
              <w:pStyle w:val="TableBodyCompact"/>
            </w:pPr>
            <w:r>
              <w:t xml:space="preserve">Release; material change; periodic test</w:t>
            </w:r>
          </w:p>
        </w:tc>
      </w:tr>
      <w:tr>
        <w:tc>
          <w:tcPr>
            <w:tcW w:w="560" w:type="dxa"/>
          </w:tcPr>
          <w:p>
            <w:pPr>
              <w:pStyle w:val="TableBodyCompact"/>
            </w:pPr>
            <w:r>
              <w:rPr>
                <w:rStyle w:val="InlineCode"/>
              </w:rPr>
              <w:t xml:space="preserve">IAM-01</w:t>
            </w:r>
          </w:p>
        </w:tc>
        <w:tc>
          <w:tcPr>
            <w:tcW w:w="560" w:type="dxa"/>
          </w:tcPr>
          <w:p>
            <w:pPr>
              <w:pStyle w:val="TableBodyCompact"/>
            </w:pPr>
            <w:r>
              <w:t xml:space="preserve">T1+</w:t>
            </w:r>
          </w:p>
        </w:tc>
        <w:tc>
          <w:tcPr>
            <w:tcW w:w="3186" w:type="dxa"/>
          </w:tcPr>
          <w:p>
            <w:pPr>
              <w:pStyle w:val="TableBodyCompact"/>
            </w:pPr>
            <w:r>
              <w:t xml:space="preserve">Distinguish and lifecycle-manage human, workload, agent and delegated-user identities with least privilege</w:t>
            </w:r>
          </w:p>
        </w:tc>
        <w:tc>
          <w:tcPr>
            <w:tcW w:w="560" w:type="dxa"/>
          </w:tcPr>
          <w:p>
            <w:pPr>
              <w:pStyle w:val="TableBodyCompact"/>
            </w:pPr>
            <w:r>
              <w:t xml:space="preserve">Technical owner</w:t>
            </w:r>
          </w:p>
        </w:tc>
        <w:tc>
          <w:tcPr>
            <w:tcW w:w="2865" w:type="dxa"/>
          </w:tcPr>
          <w:p>
            <w:pPr>
              <w:pStyle w:val="TableBodyCompact"/>
            </w:pPr>
            <w:r>
              <w:t xml:space="preserve">Inspect trust and roles; run allowed/denied actions and revocation; pass only when attribution and revocation work for the approved boundary</w:t>
            </w:r>
          </w:p>
        </w:tc>
        <w:tc>
          <w:tcPr>
            <w:tcW w:w="2004" w:type="dxa"/>
          </w:tcPr>
          <w:p>
            <w:pPr>
              <w:pStyle w:val="TableBodyCompact"/>
            </w:pPr>
            <w:r>
              <w:t xml:space="preserve">Identity-flow diagram; role export; token/claim sample; access and revocation tests</w:t>
            </w:r>
          </w:p>
        </w:tc>
        <w:tc>
          <w:tcPr>
            <w:tcW w:w="-15" w:type="dxa"/>
          </w:tcPr>
          <w:p>
            <w:pPr>
              <w:pStyle w:val="TableBodyCompact"/>
            </w:pPr>
            <w:r>
              <w:t xml:space="preserve">Release; access change; periodic review</w:t>
            </w:r>
          </w:p>
        </w:tc>
      </w:tr>
      <w:tr>
        <w:tc>
          <w:tcPr>
            <w:tcW w:w="560" w:type="dxa"/>
          </w:tcPr>
          <w:p>
            <w:pPr>
              <w:pStyle w:val="TableBodyCompact"/>
            </w:pPr>
            <w:r>
              <w:rPr>
                <w:rStyle w:val="InlineCode"/>
              </w:rPr>
              <w:t xml:space="preserve">IAM-02</w:t>
            </w:r>
          </w:p>
        </w:tc>
        <w:tc>
          <w:tcPr>
            <w:tcW w:w="560" w:type="dxa"/>
          </w:tcPr>
          <w:p>
            <w:pPr>
              <w:pStyle w:val="TableBodyCompact"/>
            </w:pPr>
            <w:r>
              <w:t xml:space="preserve">T2+</w:t>
            </w:r>
          </w:p>
        </w:tc>
        <w:tc>
          <w:tcPr>
            <w:tcW w:w="3186" w:type="dxa"/>
          </w:tcPr>
          <w:p>
            <w:pPr>
              <w:pStyle w:val="TableBodyCompact"/>
            </w:pPr>
            <w:r>
              <w:t xml:space="preserve">Separate privileged or consequential actions from routine authority and require the approval path set by tier</w:t>
            </w:r>
          </w:p>
        </w:tc>
        <w:tc>
          <w:tcPr>
            <w:tcW w:w="560" w:type="dxa"/>
          </w:tcPr>
          <w:p>
            <w:pPr>
              <w:pStyle w:val="TableBodyCompact"/>
            </w:pPr>
            <w:r>
              <w:t xml:space="preserve">Accountable business owner</w:t>
            </w:r>
          </w:p>
        </w:tc>
        <w:tc>
          <w:tcPr>
            <w:tcW w:w="2865" w:type="dxa"/>
          </w:tcPr>
          <w:p>
            <w:pPr>
              <w:pStyle w:val="TableBodyCompact"/>
            </w:pPr>
            <w:r>
              <w:t xml:space="preserve">Exercise approve, deny, timeout and bypass attempts; pass only when unauthorized or unapproved actions cannot complete</w:t>
            </w:r>
          </w:p>
        </w:tc>
        <w:tc>
          <w:tcPr>
            <w:tcW w:w="2004" w:type="dxa"/>
          </w:tcPr>
          <w:p>
            <w:pPr>
              <w:pStyle w:val="TableBodyCompact"/>
            </w:pPr>
            <w:r>
              <w:t xml:space="preserve">Approval policy; signed approval events; negative tests</w:t>
            </w:r>
          </w:p>
        </w:tc>
        <w:tc>
          <w:tcPr>
            <w:tcW w:w="-15" w:type="dxa"/>
          </w:tcPr>
          <w:p>
            <w:pPr>
              <w:pStyle w:val="TableBodyCompact"/>
            </w:pPr>
            <w:r>
              <w:t xml:space="preserve">Release; material change</w:t>
            </w:r>
          </w:p>
        </w:tc>
      </w:tr>
    </w:tbl>
    <w:p>
      <w:pPr>
        <w:pStyle w:val="Heading3"/>
      </w:pPr>
      <w:r>
        <w:t xml:space="preserve">Tools, software supply chain and configuration</w:t>
      </w:r>
    </w:p>
    <w:tbl>
      <w:tblPr>
        <w:tblStyle w:val="ContentTable"/>
        <w:tblW w:w="9720" w:type="dxa"/>
        <w:tblLayout w:type="fixed"/>
        <w:tblLook w:val="04A0" w:firstRow="1" w:lastRow="0" w:firstColumn="0" w:lastColumn="0" w:noHBand="0" w:noVBand="1"/>
      </w:tblPr>
      <w:tblGrid>
        <w:gridCol w:w="560"/>
        <w:gridCol w:w="560"/>
        <w:gridCol w:w="2983"/>
        <w:gridCol w:w="560"/>
        <w:gridCol w:w="3255"/>
        <w:gridCol w:w="1717"/>
        <w:gridCol w:w="85"/>
      </w:tblGrid>
      <w:tr>
        <w:trPr>
          <w:tblHeader/>
        </w:trPr>
        <w:tc>
          <w:tcPr>
            <w:tcW w:w="560" w:type="dxa"/>
            <w:shd w:val="clear" w:color="auto" w:fill="F5F0E7"/>
          </w:tcPr>
          <w:p>
            <w:pPr>
              <w:pStyle w:val="TableHeaderCompact"/>
            </w:pPr>
            <w:r>
              <w:t xml:space="preserve">ID</w:t>
            </w:r>
          </w:p>
        </w:tc>
        <w:tc>
          <w:tcPr>
            <w:tcW w:w="560" w:type="dxa"/>
            <w:shd w:val="clear" w:color="auto" w:fill="F5F0E7"/>
          </w:tcPr>
          <w:p>
            <w:pPr>
              <w:pStyle w:val="TableHeaderCompact"/>
            </w:pPr>
            <w:r>
              <w:t xml:space="preserve">Min. tier</w:t>
            </w:r>
          </w:p>
        </w:tc>
        <w:tc>
          <w:tcPr>
            <w:tcW w:w="2983" w:type="dxa"/>
            <w:shd w:val="clear" w:color="auto" w:fill="F5F0E7"/>
          </w:tcPr>
          <w:p>
            <w:pPr>
              <w:pStyle w:val="TableHeaderCompact"/>
            </w:pPr>
            <w:r>
              <w:t xml:space="preserve">Requirement</w:t>
            </w:r>
          </w:p>
        </w:tc>
        <w:tc>
          <w:tcPr>
            <w:tcW w:w="560" w:type="dxa"/>
            <w:shd w:val="clear" w:color="auto" w:fill="F5F0E7"/>
          </w:tcPr>
          <w:p>
            <w:pPr>
              <w:pStyle w:val="TableHeaderCompact"/>
            </w:pPr>
            <w:r>
              <w:t xml:space="preserve">Accountable owner</w:t>
            </w:r>
          </w:p>
        </w:tc>
        <w:tc>
          <w:tcPr>
            <w:tcW w:w="3255" w:type="dxa"/>
            <w:shd w:val="clear" w:color="auto" w:fill="F5F0E7"/>
          </w:tcPr>
          <w:p>
            <w:pPr>
              <w:pStyle w:val="TableHeaderCompact"/>
            </w:pPr>
            <w:r>
              <w:t xml:space="preserve">Test and binary pass condition</w:t>
            </w:r>
          </w:p>
        </w:tc>
        <w:tc>
          <w:tcPr>
            <w:tcW w:w="1717" w:type="dxa"/>
            <w:shd w:val="clear" w:color="auto" w:fill="F5F0E7"/>
          </w:tcPr>
          <w:p>
            <w:pPr>
              <w:pStyle w:val="TableHeaderCompact"/>
            </w:pPr>
            <w:r>
              <w:t xml:space="preserve">Minimum retained evidence</w:t>
            </w:r>
          </w:p>
        </w:tc>
        <w:tc>
          <w:tcPr>
            <w:tcW w:w="85" w:type="dxa"/>
            <w:shd w:val="clear" w:color="auto" w:fill="F5F0E7"/>
          </w:tcPr>
          <w:p>
            <w:pPr>
              <w:pStyle w:val="TableHeaderCompact"/>
            </w:pPr>
            <w:r>
              <w:t xml:space="preserve">Cadence</w:t>
            </w:r>
          </w:p>
        </w:tc>
      </w:tr>
      <w:tr>
        <w:tc>
          <w:tcPr>
            <w:tcW w:w="560" w:type="dxa"/>
          </w:tcPr>
          <w:p>
            <w:pPr>
              <w:pStyle w:val="TableBodyCompact"/>
            </w:pPr>
            <w:r>
              <w:rPr>
                <w:rStyle w:val="InlineCode"/>
              </w:rPr>
              <w:t xml:space="preserve">TOOL-01</w:t>
            </w:r>
          </w:p>
        </w:tc>
        <w:tc>
          <w:tcPr>
            <w:tcW w:w="560" w:type="dxa"/>
          </w:tcPr>
          <w:p>
            <w:pPr>
              <w:pStyle w:val="TableBodyCompact"/>
            </w:pPr>
            <w:r>
              <w:t xml:space="preserve">T1+</w:t>
            </w:r>
          </w:p>
        </w:tc>
        <w:tc>
          <w:tcPr>
            <w:tcW w:w="2983" w:type="dxa"/>
          </w:tcPr>
          <w:p>
            <w:pPr>
              <w:pStyle w:val="TableBodyCompact"/>
            </w:pPr>
            <w:r>
              <w:t xml:space="preserve">Constrain approved tools, peers, destinations, methods, parameters and action scope; failure must not broaden authority</w:t>
            </w:r>
          </w:p>
        </w:tc>
        <w:tc>
          <w:tcPr>
            <w:tcW w:w="560" w:type="dxa"/>
          </w:tcPr>
          <w:p>
            <w:pPr>
              <w:pStyle w:val="TableBodyCompact"/>
            </w:pPr>
            <w:r>
              <w:t xml:space="preserve">Technical owner</w:t>
            </w:r>
          </w:p>
        </w:tc>
        <w:tc>
          <w:tcPr>
            <w:tcW w:w="3255" w:type="dxa"/>
          </w:tcPr>
          <w:p>
            <w:pPr>
              <w:pStyle w:val="TableBodyCompact"/>
            </w:pPr>
            <w:r>
              <w:t xml:space="preserve">Test allowed, denied, malformed, out-of-scope and dependency-failure calls; pass only when each follows the approved policy</w:t>
            </w:r>
          </w:p>
        </w:tc>
        <w:tc>
          <w:tcPr>
            <w:tcW w:w="1717" w:type="dxa"/>
          </w:tcPr>
          <w:p>
            <w:pPr>
              <w:pStyle w:val="TableBodyCompact"/>
            </w:pPr>
            <w:r>
              <w:t xml:space="preserve">Tool inventory; policy and configuration; boundary tests; approval-path test</w:t>
            </w:r>
          </w:p>
        </w:tc>
        <w:tc>
          <w:tcPr>
            <w:tcW w:w="85" w:type="dxa"/>
          </w:tcPr>
          <w:p>
            <w:pPr>
              <w:pStyle w:val="TableBodyCompact"/>
            </w:pPr>
            <w:r>
              <w:t xml:space="preserve">Release; tool or policy change</w:t>
            </w:r>
          </w:p>
        </w:tc>
      </w:tr>
      <w:tr>
        <w:tc>
          <w:tcPr>
            <w:tcW w:w="560" w:type="dxa"/>
          </w:tcPr>
          <w:p>
            <w:pPr>
              <w:pStyle w:val="TableBodyCompact"/>
            </w:pPr>
            <w:r>
              <w:rPr>
                <w:rStyle w:val="InlineCode"/>
              </w:rPr>
              <w:t xml:space="preserve">SEC-01</w:t>
            </w:r>
          </w:p>
        </w:tc>
        <w:tc>
          <w:tcPr>
            <w:tcW w:w="560" w:type="dxa"/>
          </w:tcPr>
          <w:p>
            <w:pPr>
              <w:pStyle w:val="TableBodyCompact"/>
            </w:pPr>
            <w:r>
              <w:t xml:space="preserve">T1+</w:t>
            </w:r>
          </w:p>
        </w:tc>
        <w:tc>
          <w:tcPr>
            <w:tcW w:w="2983" w:type="dxa"/>
          </w:tcPr>
          <w:p>
            <w:pPr>
              <w:pStyle w:val="TableBodyCompact"/>
            </w:pPr>
            <w:r>
              <w:t xml:space="preserve">Store, inject, rotate and redact secrets through an approved mechanism and restrict observable egress</w:t>
            </w:r>
          </w:p>
        </w:tc>
        <w:tc>
          <w:tcPr>
            <w:tcW w:w="560" w:type="dxa"/>
          </w:tcPr>
          <w:p>
            <w:pPr>
              <w:pStyle w:val="TableBodyCompact"/>
            </w:pPr>
            <w:r>
              <w:t xml:space="preserve">Technical owner</w:t>
            </w:r>
          </w:p>
        </w:tc>
        <w:tc>
          <w:tcPr>
            <w:tcW w:w="3255" w:type="dxa"/>
          </w:tcPr>
          <w:p>
            <w:pPr>
              <w:pStyle w:val="TableBodyCompact"/>
            </w:pPr>
            <w:r>
              <w:t xml:space="preserve">Inspect configuration; test rotation, redaction and allowed/blocked destinations; pass only when secrets are not exposed and policy is enforced</w:t>
            </w:r>
          </w:p>
        </w:tc>
        <w:tc>
          <w:tcPr>
            <w:tcW w:w="1717" w:type="dxa"/>
          </w:tcPr>
          <w:p>
            <w:pPr>
              <w:pStyle w:val="TableBodyCompact"/>
            </w:pPr>
            <w:r>
              <w:t xml:space="preserve">Secret configuration; rotation/redaction test; egress policy and tests</w:t>
            </w:r>
          </w:p>
        </w:tc>
        <w:tc>
          <w:tcPr>
            <w:tcW w:w="85" w:type="dxa"/>
          </w:tcPr>
          <w:p>
            <w:pPr>
              <w:pStyle w:val="TableBodyCompact"/>
            </w:pPr>
            <w:r>
              <w:t xml:space="preserve">Release; credential or destination change</w:t>
            </w:r>
          </w:p>
        </w:tc>
      </w:tr>
      <w:tr>
        <w:tc>
          <w:tcPr>
            <w:tcW w:w="560" w:type="dxa"/>
          </w:tcPr>
          <w:p>
            <w:pPr>
              <w:pStyle w:val="TableBodyCompact"/>
            </w:pPr>
            <w:r>
              <w:rPr>
                <w:rStyle w:val="InlineCode"/>
              </w:rPr>
              <w:t xml:space="preserve">SUP-01</w:t>
            </w:r>
          </w:p>
        </w:tc>
        <w:tc>
          <w:tcPr>
            <w:tcW w:w="560" w:type="dxa"/>
          </w:tcPr>
          <w:p>
            <w:pPr>
              <w:pStyle w:val="TableBodyCompact"/>
            </w:pPr>
            <w:r>
              <w:t xml:space="preserve">T1+</w:t>
            </w:r>
          </w:p>
        </w:tc>
        <w:tc>
          <w:tcPr>
            <w:tcW w:w="2983" w:type="dxa"/>
          </w:tcPr>
          <w:p>
            <w:pPr>
              <w:pStyle w:val="TableBodyCompact"/>
            </w:pPr>
            <w:r>
              <w:t xml:space="preserve">Inventory and protect source, model, prompt, tool, policy, dependency, image and build provenance, with owned vulnerability response</w:t>
            </w:r>
          </w:p>
        </w:tc>
        <w:tc>
          <w:tcPr>
            <w:tcW w:w="560" w:type="dxa"/>
          </w:tcPr>
          <w:p>
            <w:pPr>
              <w:pStyle w:val="TableBodyCompact"/>
            </w:pPr>
            <w:r>
              <w:t xml:space="preserve">Technical owner</w:t>
            </w:r>
          </w:p>
        </w:tc>
        <w:tc>
          <w:tcPr>
            <w:tcW w:w="3255" w:type="dxa"/>
          </w:tcPr>
          <w:p>
            <w:pPr>
              <w:pStyle w:val="TableBodyCompact"/>
            </w:pPr>
            <w:r>
              <w:t xml:space="preserve">Reconstruct the release from the manifest and sample provenance; pass only when components resolve to approved versions and findings have owners</w:t>
            </w:r>
          </w:p>
        </w:tc>
        <w:tc>
          <w:tcPr>
            <w:tcW w:w="1717" w:type="dxa"/>
          </w:tcPr>
          <w:p>
            <w:pPr>
              <w:pStyle w:val="TableBodyCompact"/>
            </w:pPr>
            <w:r>
              <w:t xml:space="preserve">Version manifest; dependency inventory; attestations; vulnerability records</w:t>
            </w:r>
          </w:p>
        </w:tc>
        <w:tc>
          <w:tcPr>
            <w:tcW w:w="85" w:type="dxa"/>
          </w:tcPr>
          <w:p>
            <w:pPr>
              <w:pStyle w:val="TableBodyCompact"/>
            </w:pPr>
            <w:r>
              <w:t xml:space="preserve">Every release; material supplier change</w:t>
            </w:r>
          </w:p>
        </w:tc>
      </w:tr>
      <w:tr>
        <w:tc>
          <w:tcPr>
            <w:tcW w:w="560" w:type="dxa"/>
          </w:tcPr>
          <w:p>
            <w:pPr>
              <w:pStyle w:val="TableBodyCompact"/>
            </w:pPr>
            <w:r>
              <w:rPr>
                <w:rStyle w:val="InlineCode"/>
              </w:rPr>
              <w:t xml:space="preserve">CFG-01</w:t>
            </w:r>
          </w:p>
        </w:tc>
        <w:tc>
          <w:tcPr>
            <w:tcW w:w="560" w:type="dxa"/>
          </w:tcPr>
          <w:p>
            <w:pPr>
              <w:pStyle w:val="TableBodyCompact"/>
            </w:pPr>
            <w:r>
              <w:t xml:space="preserve">T1+</w:t>
            </w:r>
          </w:p>
        </w:tc>
        <w:tc>
          <w:tcPr>
            <w:tcW w:w="2983" w:type="dxa"/>
          </w:tcPr>
          <w:p>
            <w:pPr>
              <w:pStyle w:val="TableBodyCompact"/>
            </w:pPr>
            <w:r>
              <w:t xml:space="preserve">Resolve every deployed agent to its approved model, prompt, tools, policies, dependencies, runtime and environment</w:t>
            </w:r>
          </w:p>
        </w:tc>
        <w:tc>
          <w:tcPr>
            <w:tcW w:w="560" w:type="dxa"/>
          </w:tcPr>
          <w:p>
            <w:pPr>
              <w:pStyle w:val="TableBodyCompact"/>
            </w:pPr>
            <w:r>
              <w:t xml:space="preserve">Agent product owner</w:t>
            </w:r>
          </w:p>
        </w:tc>
        <w:tc>
          <w:tcPr>
            <w:tcW w:w="3255" w:type="dxa"/>
          </w:tcPr>
          <w:p>
            <w:pPr>
              <w:pStyle w:val="TableBodyCompact"/>
            </w:pPr>
            <w:r>
              <w:t xml:space="preserve">Compare authorization, deployment and exported configuration; pass only when all resolve to one approved version</w:t>
            </w:r>
          </w:p>
        </w:tc>
        <w:tc>
          <w:tcPr>
            <w:tcW w:w="1717" w:type="dxa"/>
          </w:tcPr>
          <w:p>
            <w:pPr>
              <w:pStyle w:val="TableBodyCompact"/>
            </w:pPr>
            <w:r>
              <w:t xml:space="preserve">Deployment manifest; approval; configuration export</w:t>
            </w:r>
          </w:p>
        </w:tc>
        <w:tc>
          <w:tcPr>
            <w:tcW w:w="85" w:type="dxa"/>
          </w:tcPr>
          <w:p>
            <w:pPr>
              <w:pStyle w:val="TableBodyCompact"/>
            </w:pPr>
            <w:r>
              <w:t xml:space="preserve">Every release; restart</w:t>
            </w:r>
          </w:p>
        </w:tc>
      </w:tr>
      <w:tr>
        <w:tc>
          <w:tcPr>
            <w:tcW w:w="560" w:type="dxa"/>
          </w:tcPr>
          <w:p>
            <w:pPr>
              <w:pStyle w:val="TableBodyCompact"/>
            </w:pPr>
            <w:r>
              <w:rPr>
                <w:rStyle w:val="InlineCode"/>
              </w:rPr>
              <w:t xml:space="preserve">CFG-02</w:t>
            </w:r>
          </w:p>
        </w:tc>
        <w:tc>
          <w:tcPr>
            <w:tcW w:w="560" w:type="dxa"/>
          </w:tcPr>
          <w:p>
            <w:pPr>
              <w:pStyle w:val="TableBodyCompact"/>
            </w:pPr>
            <w:r>
              <w:t xml:space="preserve">T1+</w:t>
            </w:r>
          </w:p>
        </w:tc>
        <w:tc>
          <w:tcPr>
            <w:tcW w:w="2983" w:type="dxa"/>
          </w:tcPr>
          <w:p>
            <w:pPr>
              <w:pStyle w:val="TableBodyCompact"/>
            </w:pPr>
            <w:r>
              <w:t xml:space="preserve">Attribute changes, protect approved configuration, identify material changes and retain a tested prior approved state</w:t>
            </w:r>
          </w:p>
        </w:tc>
        <w:tc>
          <w:tcPr>
            <w:tcW w:w="560" w:type="dxa"/>
          </w:tcPr>
          <w:p>
            <w:pPr>
              <w:pStyle w:val="TableBodyCompact"/>
            </w:pPr>
            <w:r>
              <w:t xml:space="preserve">Technical owner</w:t>
            </w:r>
          </w:p>
        </w:tc>
        <w:tc>
          <w:tcPr>
            <w:tcW w:w="3255" w:type="dxa"/>
          </w:tcPr>
          <w:p>
            <w:pPr>
              <w:pStyle w:val="TableBodyCompact"/>
            </w:pPr>
            <w:r>
              <w:t xml:space="preserve">Review change trail and perform reconstruction or rollback test; pass only when unauthorized drift is detected and the prior state is usable</w:t>
            </w:r>
          </w:p>
        </w:tc>
        <w:tc>
          <w:tcPr>
            <w:tcW w:w="1717" w:type="dxa"/>
          </w:tcPr>
          <w:p>
            <w:pPr>
              <w:pStyle w:val="TableBodyCompact"/>
            </w:pPr>
            <w:r>
              <w:t xml:space="preserve">Change/approval record; drift check; rollback test</w:t>
            </w:r>
          </w:p>
        </w:tc>
        <w:tc>
          <w:tcPr>
            <w:tcW w:w="85" w:type="dxa"/>
          </w:tcPr>
          <w:p>
            <w:pPr>
              <w:pStyle w:val="TableBodyCompact"/>
            </w:pPr>
            <w:r>
              <w:t xml:space="preserve">Every release; material change</w:t>
            </w:r>
          </w:p>
        </w:tc>
      </w:tr>
    </w:tbl>
    <w:p>
      <w:pPr>
        <w:pStyle w:val="BodyText"/>
      </w:pPr>
      <w:r>
        <w:t xml:space="preserve">NIST SSDF groups secure-development practices under Prepare the Organization, Protect the Software, Produce Well-Secured Software and Respond to Vulnerabilities, and describes them as outcome-based and tailorable. [G12] </w:t>
      </w:r>
      <w:r>
        <w:rPr>
          <w:rStyle w:val="InlineCode"/>
        </w:rPr>
        <w:t xml:space="preserve">SUP-01</w:t>
      </w:r>
      <w:r>
        <w:t xml:space="preserve">, </w:t>
      </w:r>
      <w:r>
        <w:rPr>
          <w:rStyle w:val="InlineCode"/>
        </w:rPr>
        <w:t xml:space="preserve">CFG-01</w:t>
      </w:r>
      <w:r>
        <w:t xml:space="preserve"> and </w:t>
      </w:r>
      <w:r>
        <w:rPr>
          <w:rStyle w:val="InlineCode"/>
        </w:rPr>
        <w:t xml:space="preserve">CFG-02</w:t>
      </w:r>
      <w:r>
        <w:t xml:space="preserve"> use that structure as informative guidance; they do not claim to implement the complete SSDF.</w:t>
      </w:r>
    </w:p>
    <w:p>
      <w:pPr>
        <w:pStyle w:val="Heading3"/>
      </w:pPr>
      <w:r>
        <w:t xml:space="preserve">Evaluation, auditability and operation</w:t>
      </w:r>
    </w:p>
    <w:tbl>
      <w:tblPr>
        <w:tblStyle w:val="ContentTable"/>
        <w:tblW w:w="9720" w:type="dxa"/>
        <w:tblLayout w:type="fixed"/>
        <w:tblLook w:val="04A0" w:firstRow="1" w:lastRow="0" w:firstColumn="0" w:lastColumn="0" w:noHBand="0" w:noVBand="1"/>
      </w:tblPr>
      <w:tblGrid>
        <w:gridCol w:w="560"/>
        <w:gridCol w:w="560"/>
        <w:gridCol w:w="3127"/>
        <w:gridCol w:w="570"/>
        <w:gridCol w:w="3148"/>
        <w:gridCol w:w="1479"/>
        <w:gridCol w:w="276"/>
      </w:tblGrid>
      <w:tr>
        <w:trPr>
          <w:tblHeader/>
        </w:trPr>
        <w:tc>
          <w:tcPr>
            <w:tcW w:w="560" w:type="dxa"/>
            <w:shd w:val="clear" w:color="auto" w:fill="F5F0E7"/>
          </w:tcPr>
          <w:p>
            <w:pPr>
              <w:pStyle w:val="TableHeaderCompact"/>
            </w:pPr>
            <w:r>
              <w:t xml:space="preserve">ID</w:t>
            </w:r>
          </w:p>
        </w:tc>
        <w:tc>
          <w:tcPr>
            <w:tcW w:w="560" w:type="dxa"/>
            <w:shd w:val="clear" w:color="auto" w:fill="F5F0E7"/>
          </w:tcPr>
          <w:p>
            <w:pPr>
              <w:pStyle w:val="TableHeaderCompact"/>
            </w:pPr>
            <w:r>
              <w:t xml:space="preserve">Min. tier</w:t>
            </w:r>
          </w:p>
        </w:tc>
        <w:tc>
          <w:tcPr>
            <w:tcW w:w="3127" w:type="dxa"/>
            <w:shd w:val="clear" w:color="auto" w:fill="F5F0E7"/>
          </w:tcPr>
          <w:p>
            <w:pPr>
              <w:pStyle w:val="TableHeaderCompact"/>
            </w:pPr>
            <w:r>
              <w:t xml:space="preserve">Requirement</w:t>
            </w:r>
          </w:p>
        </w:tc>
        <w:tc>
          <w:tcPr>
            <w:tcW w:w="570" w:type="dxa"/>
            <w:shd w:val="clear" w:color="auto" w:fill="F5F0E7"/>
          </w:tcPr>
          <w:p>
            <w:pPr>
              <w:pStyle w:val="TableHeaderCompact"/>
            </w:pPr>
            <w:r>
              <w:t xml:space="preserve">Accountable owner</w:t>
            </w:r>
          </w:p>
        </w:tc>
        <w:tc>
          <w:tcPr>
            <w:tcW w:w="3148" w:type="dxa"/>
            <w:shd w:val="clear" w:color="auto" w:fill="F5F0E7"/>
          </w:tcPr>
          <w:p>
            <w:pPr>
              <w:pStyle w:val="TableHeaderCompact"/>
            </w:pPr>
            <w:r>
              <w:t xml:space="preserve">Test and binary pass condition</w:t>
            </w:r>
          </w:p>
        </w:tc>
        <w:tc>
          <w:tcPr>
            <w:tcW w:w="1479" w:type="dxa"/>
            <w:shd w:val="clear" w:color="auto" w:fill="F5F0E7"/>
          </w:tcPr>
          <w:p>
            <w:pPr>
              <w:pStyle w:val="TableHeaderCompact"/>
            </w:pPr>
            <w:r>
              <w:t xml:space="preserve">Minimum retained evidence</w:t>
            </w:r>
          </w:p>
        </w:tc>
        <w:tc>
          <w:tcPr>
            <w:tcW w:w="276" w:type="dxa"/>
            <w:shd w:val="clear" w:color="auto" w:fill="F5F0E7"/>
          </w:tcPr>
          <w:p>
            <w:pPr>
              <w:pStyle w:val="TableHeaderCompact"/>
            </w:pPr>
            <w:r>
              <w:t xml:space="preserve">Cadence</w:t>
            </w:r>
          </w:p>
        </w:tc>
      </w:tr>
      <w:tr>
        <w:tc>
          <w:tcPr>
            <w:tcW w:w="560" w:type="dxa"/>
          </w:tcPr>
          <w:p>
            <w:pPr>
              <w:pStyle w:val="TableBodyCompact"/>
            </w:pPr>
            <w:r>
              <w:rPr>
                <w:rStyle w:val="InlineCode"/>
              </w:rPr>
              <w:t xml:space="preserve">EVAL-01</w:t>
            </w:r>
          </w:p>
        </w:tc>
        <w:tc>
          <w:tcPr>
            <w:tcW w:w="560" w:type="dxa"/>
          </w:tcPr>
          <w:p>
            <w:pPr>
              <w:pStyle w:val="TableBodyCompact"/>
            </w:pPr>
            <w:r>
              <w:t xml:space="preserve">T1+</w:t>
            </w:r>
          </w:p>
        </w:tc>
        <w:tc>
          <w:tcPr>
            <w:tcW w:w="3127" w:type="dxa"/>
          </w:tcPr>
          <w:p>
            <w:pPr>
              <w:pStyle w:val="TableBodyCompact"/>
            </w:pPr>
            <w:r>
              <w:t xml:space="preserve">Define acceptance criteria before testing and evaluate the approved version against representative success and failure conditions</w:t>
            </w:r>
          </w:p>
        </w:tc>
        <w:tc>
          <w:tcPr>
            <w:tcW w:w="570" w:type="dxa"/>
          </w:tcPr>
          <w:p>
            <w:pPr>
              <w:pStyle w:val="TableBodyCompact"/>
            </w:pPr>
            <w:r>
              <w:t xml:space="preserve">Agent product owner</w:t>
            </w:r>
          </w:p>
        </w:tc>
        <w:tc>
          <w:tcPr>
            <w:tcW w:w="3148" w:type="dxa"/>
          </w:tcPr>
          <w:p>
            <w:pPr>
              <w:pStyle w:val="TableBodyCompact"/>
            </w:pPr>
            <w:r>
              <w:t xml:space="preserve">Re-run a controlled sample; pass only when methods, version, data, thresholds and results are reproducible and approved</w:t>
            </w:r>
          </w:p>
        </w:tc>
        <w:tc>
          <w:tcPr>
            <w:tcW w:w="1479" w:type="dxa"/>
          </w:tcPr>
          <w:p>
            <w:pPr>
              <w:pStyle w:val="TableBodyCompact"/>
            </w:pPr>
            <w:r>
              <w:t xml:space="preserve">Evaluation plan; dataset/rubric version; results; decision</w:t>
            </w:r>
          </w:p>
        </w:tc>
        <w:tc>
          <w:tcPr>
            <w:tcW w:w="276" w:type="dxa"/>
          </w:tcPr>
          <w:p>
            <w:pPr>
              <w:pStyle w:val="TableBodyCompact"/>
            </w:pPr>
            <w:r>
              <w:t xml:space="preserve">Release; material change; tier cadence</w:t>
            </w:r>
          </w:p>
        </w:tc>
      </w:tr>
      <w:tr>
        <w:tc>
          <w:tcPr>
            <w:tcW w:w="560" w:type="dxa"/>
          </w:tcPr>
          <w:p>
            <w:pPr>
              <w:pStyle w:val="TableBodyCompact"/>
            </w:pPr>
            <w:r>
              <w:rPr>
                <w:rStyle w:val="InlineCode"/>
              </w:rPr>
              <w:t xml:space="preserve">EVAL-02</w:t>
            </w:r>
          </w:p>
        </w:tc>
        <w:tc>
          <w:tcPr>
            <w:tcW w:w="560" w:type="dxa"/>
          </w:tcPr>
          <w:p>
            <w:pPr>
              <w:pStyle w:val="TableBodyCompact"/>
            </w:pPr>
            <w:r>
              <w:t xml:space="preserve">T2+</w:t>
            </w:r>
          </w:p>
        </w:tc>
        <w:tc>
          <w:tcPr>
            <w:tcW w:w="3127" w:type="dxa"/>
          </w:tcPr>
          <w:p>
            <w:pPr>
              <w:pStyle w:val="TableBodyCompact"/>
            </w:pPr>
            <w:r>
              <w:t xml:space="preserve">Test misuse, prompt injection, unsafe action, data exposure, boundary escape and other tier-appropriate failure scenarios</w:t>
            </w:r>
          </w:p>
        </w:tc>
        <w:tc>
          <w:tcPr>
            <w:tcW w:w="570" w:type="dxa"/>
          </w:tcPr>
          <w:p>
            <w:pPr>
              <w:pStyle w:val="TableBodyCompact"/>
            </w:pPr>
            <w:r>
              <w:t xml:space="preserve">Independent assurance owner</w:t>
            </w:r>
          </w:p>
        </w:tc>
        <w:tc>
          <w:tcPr>
            <w:tcW w:w="3148" w:type="dxa"/>
          </w:tcPr>
          <w:p>
            <w:pPr>
              <w:pStyle w:val="TableBodyCompact"/>
            </w:pPr>
            <w:r>
              <w:t xml:space="preserve">Execute approved adversarial scenarios; pass only when residual failures are closed or governed by current exceptions</w:t>
            </w:r>
          </w:p>
        </w:tc>
        <w:tc>
          <w:tcPr>
            <w:tcW w:w="1479" w:type="dxa"/>
          </w:tcPr>
          <w:p>
            <w:pPr>
              <w:pStyle w:val="TableBodyCompact"/>
            </w:pPr>
            <w:r>
              <w:t xml:space="preserve">Scenario set; execution evidence; findings; retest</w:t>
            </w:r>
          </w:p>
        </w:tc>
        <w:tc>
          <w:tcPr>
            <w:tcW w:w="276" w:type="dxa"/>
          </w:tcPr>
          <w:p>
            <w:pPr>
              <w:pStyle w:val="TableBodyCompact"/>
            </w:pPr>
            <w:r>
              <w:t xml:space="preserve">Release; material change; threat-informed update</w:t>
            </w:r>
          </w:p>
        </w:tc>
      </w:tr>
      <w:tr>
        <w:tc>
          <w:tcPr>
            <w:tcW w:w="560" w:type="dxa"/>
          </w:tcPr>
          <w:p>
            <w:pPr>
              <w:pStyle w:val="TableBodyCompact"/>
            </w:pPr>
            <w:r>
              <w:rPr>
                <w:rStyle w:val="InlineCode"/>
              </w:rPr>
              <w:t xml:space="preserve">AUD-01</w:t>
            </w:r>
          </w:p>
        </w:tc>
        <w:tc>
          <w:tcPr>
            <w:tcW w:w="560" w:type="dxa"/>
          </w:tcPr>
          <w:p>
            <w:pPr>
              <w:pStyle w:val="TableBodyCompact"/>
            </w:pPr>
            <w:r>
              <w:t xml:space="preserve">T1+</w:t>
            </w:r>
          </w:p>
        </w:tc>
        <w:tc>
          <w:tcPr>
            <w:tcW w:w="3127" w:type="dxa"/>
          </w:tcPr>
          <w:p>
            <w:pPr>
              <w:pStyle w:val="TableBodyCompact"/>
            </w:pPr>
            <w:r>
              <w:t xml:space="preserve">Record enough events to reconstruct actor, approved version, request, model/tool/action, policy and approval decision, outcome, time and correlation</w:t>
            </w:r>
          </w:p>
        </w:tc>
        <w:tc>
          <w:tcPr>
            <w:tcW w:w="570" w:type="dxa"/>
          </w:tcPr>
          <w:p>
            <w:pPr>
              <w:pStyle w:val="TableBodyCompact"/>
            </w:pPr>
            <w:r>
              <w:t xml:space="preserve">Operations owner</w:t>
            </w:r>
          </w:p>
        </w:tc>
        <w:tc>
          <w:tcPr>
            <w:tcW w:w="3148" w:type="dxa"/>
          </w:tcPr>
          <w:p>
            <w:pPr>
              <w:pStyle w:val="TableBodyCompact"/>
            </w:pPr>
            <w:r>
              <w:t xml:space="preserve">Export representative successful, denied and failed executions; pass only when required fields correlate without relying solely on a supplier UI</w:t>
            </w:r>
          </w:p>
        </w:tc>
        <w:tc>
          <w:tcPr>
            <w:tcW w:w="1479" w:type="dxa"/>
          </w:tcPr>
          <w:p>
            <w:pPr>
              <w:pStyle w:val="TableBodyCompact"/>
            </w:pPr>
            <w:r>
              <w:t xml:space="preserve">Exported event set; field-completeness and clock/correlation check</w:t>
            </w:r>
          </w:p>
        </w:tc>
        <w:tc>
          <w:tcPr>
            <w:tcW w:w="276" w:type="dxa"/>
          </w:tcPr>
          <w:p>
            <w:pPr>
              <w:pStyle w:val="TableBodyCompact"/>
            </w:pPr>
            <w:r>
              <w:t xml:space="preserve">Release; schema change; periodic sample</w:t>
            </w:r>
          </w:p>
        </w:tc>
      </w:tr>
      <w:tr>
        <w:tc>
          <w:tcPr>
            <w:tcW w:w="560" w:type="dxa"/>
          </w:tcPr>
          <w:p>
            <w:pPr>
              <w:pStyle w:val="TableBodyCompact"/>
            </w:pPr>
            <w:r>
              <w:rPr>
                <w:rStyle w:val="InlineCode"/>
              </w:rPr>
              <w:t xml:space="preserve">AUD-02</w:t>
            </w:r>
          </w:p>
        </w:tc>
        <w:tc>
          <w:tcPr>
            <w:tcW w:w="560" w:type="dxa"/>
          </w:tcPr>
          <w:p>
            <w:pPr>
              <w:pStyle w:val="TableBodyCompact"/>
            </w:pPr>
            <w:r>
              <w:t xml:space="preserve">T1+</w:t>
            </w:r>
          </w:p>
        </w:tc>
        <w:tc>
          <w:tcPr>
            <w:tcW w:w="3127" w:type="dxa"/>
          </w:tcPr>
          <w:p>
            <w:pPr>
              <w:pStyle w:val="TableBodyCompact"/>
            </w:pPr>
            <w:r>
              <w:t xml:space="preserve">Make required control evidence exportable, access-controlled, retained and retrievable by the client</w:t>
            </w:r>
          </w:p>
        </w:tc>
        <w:tc>
          <w:tcPr>
            <w:tcW w:w="570" w:type="dxa"/>
          </w:tcPr>
          <w:p>
            <w:pPr>
              <w:pStyle w:val="TableBodyCompact"/>
            </w:pPr>
            <w:r>
              <w:t xml:space="preserve">Operations owner</w:t>
            </w:r>
          </w:p>
        </w:tc>
        <w:tc>
          <w:tcPr>
            <w:tcW w:w="3148" w:type="dxa"/>
          </w:tcPr>
          <w:p>
            <w:pPr>
              <w:pStyle w:val="TableBodyCompact"/>
            </w:pPr>
            <w:r>
              <w:t xml:space="preserve">Retrieve a sample through the client-controlled path; pass only when format, completeness, access and retention meet approval</w:t>
            </w:r>
          </w:p>
        </w:tc>
        <w:tc>
          <w:tcPr>
            <w:tcW w:w="1479" w:type="dxa"/>
          </w:tcPr>
          <w:p>
            <w:pPr>
              <w:pStyle w:val="TableBodyCompact"/>
            </w:pPr>
            <w:r>
              <w:t xml:space="preserve">Export sample; schema; retention/access configuration; retrieval test</w:t>
            </w:r>
          </w:p>
        </w:tc>
        <w:tc>
          <w:tcPr>
            <w:tcW w:w="276" w:type="dxa"/>
          </w:tcPr>
          <w:p>
            <w:pPr>
              <w:pStyle w:val="TableBodyCompact"/>
            </w:pPr>
            <w:r>
              <w:t xml:space="preserve">Release; periodic retrieval test</w:t>
            </w:r>
          </w:p>
        </w:tc>
      </w:tr>
      <w:tr>
        <w:tc>
          <w:tcPr>
            <w:tcW w:w="560" w:type="dxa"/>
          </w:tcPr>
          <w:p>
            <w:pPr>
              <w:pStyle w:val="TableBodyCompact"/>
            </w:pPr>
            <w:r>
              <w:rPr>
                <w:rStyle w:val="InlineCode"/>
              </w:rPr>
              <w:t xml:space="preserve">OPS-01</w:t>
            </w:r>
          </w:p>
        </w:tc>
        <w:tc>
          <w:tcPr>
            <w:tcW w:w="560" w:type="dxa"/>
          </w:tcPr>
          <w:p>
            <w:pPr>
              <w:pStyle w:val="TableBodyCompact"/>
            </w:pPr>
            <w:r>
              <w:t xml:space="preserve">T1+</w:t>
            </w:r>
          </w:p>
        </w:tc>
        <w:tc>
          <w:tcPr>
            <w:tcW w:w="3127" w:type="dxa"/>
          </w:tcPr>
          <w:p>
            <w:pPr>
              <w:pStyle w:val="TableBodyCompact"/>
            </w:pPr>
            <w:r>
              <w:t xml:space="preserve">Give authorized operators a tested way to suspend action authority, contain queued/in-flight work, preserve evidence and control restart</w:t>
            </w:r>
          </w:p>
        </w:tc>
        <w:tc>
          <w:tcPr>
            <w:tcW w:w="570" w:type="dxa"/>
          </w:tcPr>
          <w:p>
            <w:pPr>
              <w:pStyle w:val="TableBodyCompact"/>
            </w:pPr>
            <w:r>
              <w:t xml:space="preserve">Operations owner</w:t>
            </w:r>
          </w:p>
        </w:tc>
        <w:tc>
          <w:tcPr>
            <w:tcW w:w="3148" w:type="dxa"/>
          </w:tcPr>
          <w:p>
            <w:pPr>
              <w:pStyle w:val="TableBodyCompact"/>
            </w:pPr>
            <w:r>
              <w:t xml:space="preserve">Run a kill, containment and recovery exercise; pass only when authority stops within the approved condition and restart requires the correct approval</w:t>
            </w:r>
          </w:p>
        </w:tc>
        <w:tc>
          <w:tcPr>
            <w:tcW w:w="1479" w:type="dxa"/>
          </w:tcPr>
          <w:p>
            <w:pPr>
              <w:pStyle w:val="TableBodyCompact"/>
            </w:pPr>
            <w:r>
              <w:t xml:space="preserve">Exercise record; queue/in-flight evidence; recovery and restart record</w:t>
            </w:r>
          </w:p>
        </w:tc>
        <w:tc>
          <w:tcPr>
            <w:tcW w:w="276" w:type="dxa"/>
          </w:tcPr>
          <w:p>
            <w:pPr>
              <w:pStyle w:val="TableBodyCompact"/>
            </w:pPr>
            <w:r>
              <w:t xml:space="preserve">Before production; tier cadence; incident</w:t>
            </w:r>
          </w:p>
        </w:tc>
      </w:tr>
      <w:tr>
        <w:tc>
          <w:tcPr>
            <w:tcW w:w="560" w:type="dxa"/>
          </w:tcPr>
          <w:p>
            <w:pPr>
              <w:pStyle w:val="TableBodyCompact"/>
            </w:pPr>
            <w:r>
              <w:rPr>
                <w:rStyle w:val="InlineCode"/>
              </w:rPr>
              <w:t xml:space="preserve">OPS-02</w:t>
            </w:r>
          </w:p>
        </w:tc>
        <w:tc>
          <w:tcPr>
            <w:tcW w:w="560" w:type="dxa"/>
          </w:tcPr>
          <w:p>
            <w:pPr>
              <w:pStyle w:val="TableBodyCompact"/>
            </w:pPr>
            <w:r>
              <w:t xml:space="preserve">T2+</w:t>
            </w:r>
          </w:p>
        </w:tc>
        <w:tc>
          <w:tcPr>
            <w:tcW w:w="3127" w:type="dxa"/>
          </w:tcPr>
          <w:p>
            <w:pPr>
              <w:pStyle w:val="TableBodyCompact"/>
            </w:pPr>
            <w:r>
              <w:t xml:space="preserve">Monitor the approved reliability, quality, security, autonomy, cost and governance conditions and route threshold breaches to an owner</w:t>
            </w:r>
          </w:p>
        </w:tc>
        <w:tc>
          <w:tcPr>
            <w:tcW w:w="570" w:type="dxa"/>
          </w:tcPr>
          <w:p>
            <w:pPr>
              <w:pStyle w:val="TableBodyCompact"/>
            </w:pPr>
            <w:r>
              <w:t xml:space="preserve">Operations owner</w:t>
            </w:r>
          </w:p>
        </w:tc>
        <w:tc>
          <w:tcPr>
            <w:tcW w:w="3148" w:type="dxa"/>
          </w:tcPr>
          <w:p>
            <w:pPr>
              <w:pStyle w:val="TableBodyCompact"/>
            </w:pPr>
            <w:r>
              <w:t xml:space="preserve">Inject or replay a representative breach; pass only when detection, notification and action match the runbook</w:t>
            </w:r>
          </w:p>
        </w:tc>
        <w:tc>
          <w:tcPr>
            <w:tcW w:w="1479" w:type="dxa"/>
          </w:tcPr>
          <w:p>
            <w:pPr>
              <w:pStyle w:val="TableBodyCompact"/>
            </w:pPr>
            <w:r>
              <w:t xml:space="preserve">Monitoring specification; alert test; tickets; service review</w:t>
            </w:r>
          </w:p>
        </w:tc>
        <w:tc>
          <w:tcPr>
            <w:tcW w:w="276" w:type="dxa"/>
          </w:tcPr>
          <w:p>
            <w:pPr>
              <w:pStyle w:val="TableBodyCompact"/>
            </w:pPr>
            <w:r>
              <w:t xml:space="preserve">Continuous; periodic review</w:t>
            </w:r>
          </w:p>
        </w:tc>
      </w:tr>
    </w:tbl>
    <w:p>
      <w:pPr>
        <w:pStyle w:val="BodyText"/>
      </w:pPr>
      <w:r>
        <w:t xml:space="preserve">NIST AI RMF states that AI systems should be tested before deployment and regularly in operation, that measurement should be documented, and that independent review can improve testing effectiveness. [G08] </w:t>
      </w:r>
      <w:r>
        <w:rPr>
          <w:rStyle w:val="InlineCode"/>
        </w:rPr>
        <w:t xml:space="preserve">EVAL-01</w:t>
      </w:r>
      <w:r>
        <w:t xml:space="preserve">, </w:t>
      </w:r>
      <w:r>
        <w:rPr>
          <w:rStyle w:val="InlineCode"/>
        </w:rPr>
        <w:t xml:space="preserve">EVAL-02</w:t>
      </w:r>
      <w:r>
        <w:t xml:space="preserve">, </w:t>
      </w:r>
      <w:r>
        <w:rPr>
          <w:rStyle w:val="InlineCode"/>
        </w:rPr>
        <w:t xml:space="preserve">AUD-01</w:t>
      </w:r>
      <w:r>
        <w:t xml:space="preserve"> and </w:t>
      </w:r>
      <w:r>
        <w:rPr>
          <w:rStyle w:val="InlineCode"/>
        </w:rPr>
        <w:t xml:space="preserve">OPS-02</w:t>
      </w:r>
      <w:r>
        <w:t xml:space="preserve"> operationalize those outcomes as Alpha AI controls.</w:t>
      </w:r>
    </w:p>
    <w:p>
      <w:pPr>
        <w:pStyle w:val="Heading3"/>
      </w:pPr>
      <w:r>
        <w:t xml:space="preserve">Resilience, incident and exit</w:t>
      </w:r>
    </w:p>
    <w:tbl>
      <w:tblPr>
        <w:tblStyle w:val="ContentTable"/>
        <w:tblW w:w="9720" w:type="dxa"/>
        <w:tblLayout w:type="fixed"/>
        <w:tblLook w:val="04A0" w:firstRow="1" w:lastRow="0" w:firstColumn="0" w:lastColumn="0" w:noHBand="0" w:noVBand="1"/>
      </w:tblPr>
      <w:tblGrid>
        <w:gridCol w:w="560"/>
        <w:gridCol w:w="560"/>
        <w:gridCol w:w="2899"/>
        <w:gridCol w:w="560"/>
        <w:gridCol w:w="3128"/>
        <w:gridCol w:w="1710"/>
        <w:gridCol w:w="303"/>
      </w:tblGrid>
      <w:tr>
        <w:trPr>
          <w:tblHeader/>
        </w:trPr>
        <w:tc>
          <w:tcPr>
            <w:tcW w:w="560" w:type="dxa"/>
            <w:shd w:val="clear" w:color="auto" w:fill="F5F0E7"/>
          </w:tcPr>
          <w:p>
            <w:pPr>
              <w:pStyle w:val="TableHeaderCompact"/>
            </w:pPr>
            <w:r>
              <w:t xml:space="preserve">ID</w:t>
            </w:r>
          </w:p>
        </w:tc>
        <w:tc>
          <w:tcPr>
            <w:tcW w:w="560" w:type="dxa"/>
            <w:shd w:val="clear" w:color="auto" w:fill="F5F0E7"/>
          </w:tcPr>
          <w:p>
            <w:pPr>
              <w:pStyle w:val="TableHeaderCompact"/>
            </w:pPr>
            <w:r>
              <w:t xml:space="preserve">Min. tier</w:t>
            </w:r>
          </w:p>
        </w:tc>
        <w:tc>
          <w:tcPr>
            <w:tcW w:w="2899" w:type="dxa"/>
            <w:shd w:val="clear" w:color="auto" w:fill="F5F0E7"/>
          </w:tcPr>
          <w:p>
            <w:pPr>
              <w:pStyle w:val="TableHeaderCompact"/>
            </w:pPr>
            <w:r>
              <w:t xml:space="preserve">Requirement</w:t>
            </w:r>
          </w:p>
        </w:tc>
        <w:tc>
          <w:tcPr>
            <w:tcW w:w="560" w:type="dxa"/>
            <w:shd w:val="clear" w:color="auto" w:fill="F5F0E7"/>
          </w:tcPr>
          <w:p>
            <w:pPr>
              <w:pStyle w:val="TableHeaderCompact"/>
            </w:pPr>
            <w:r>
              <w:t xml:space="preserve">Accountable owner</w:t>
            </w:r>
          </w:p>
        </w:tc>
        <w:tc>
          <w:tcPr>
            <w:tcW w:w="3128" w:type="dxa"/>
            <w:shd w:val="clear" w:color="auto" w:fill="F5F0E7"/>
          </w:tcPr>
          <w:p>
            <w:pPr>
              <w:pStyle w:val="TableHeaderCompact"/>
            </w:pPr>
            <w:r>
              <w:t xml:space="preserve">Test and binary pass condition</w:t>
            </w:r>
          </w:p>
        </w:tc>
        <w:tc>
          <w:tcPr>
            <w:tcW w:w="1710" w:type="dxa"/>
            <w:shd w:val="clear" w:color="auto" w:fill="F5F0E7"/>
          </w:tcPr>
          <w:p>
            <w:pPr>
              <w:pStyle w:val="TableHeaderCompact"/>
            </w:pPr>
            <w:r>
              <w:t xml:space="preserve">Minimum retained evidence</w:t>
            </w:r>
          </w:p>
        </w:tc>
        <w:tc>
          <w:tcPr>
            <w:tcW w:w="303" w:type="dxa"/>
            <w:shd w:val="clear" w:color="auto" w:fill="F5F0E7"/>
          </w:tcPr>
          <w:p>
            <w:pPr>
              <w:pStyle w:val="TableHeaderCompact"/>
            </w:pPr>
            <w:r>
              <w:t xml:space="preserve">Cadence</w:t>
            </w:r>
          </w:p>
        </w:tc>
      </w:tr>
      <w:tr>
        <w:tc>
          <w:tcPr>
            <w:tcW w:w="560" w:type="dxa"/>
          </w:tcPr>
          <w:p>
            <w:pPr>
              <w:pStyle w:val="TableBodyCompact"/>
            </w:pPr>
            <w:r>
              <w:rPr>
                <w:rStyle w:val="InlineCode"/>
              </w:rPr>
              <w:t xml:space="preserve">BCP-01</w:t>
            </w:r>
          </w:p>
        </w:tc>
        <w:tc>
          <w:tcPr>
            <w:tcW w:w="560" w:type="dxa"/>
          </w:tcPr>
          <w:p>
            <w:pPr>
              <w:pStyle w:val="TableBodyCompact"/>
            </w:pPr>
            <w:r>
              <w:t xml:space="preserve">T2+</w:t>
            </w:r>
          </w:p>
        </w:tc>
        <w:tc>
          <w:tcPr>
            <w:tcW w:w="2899" w:type="dxa"/>
          </w:tcPr>
          <w:p>
            <w:pPr>
              <w:pStyle w:val="TableBodyCompact"/>
            </w:pPr>
            <w:r>
              <w:t xml:space="preserve">Define and test timeout, retry, idempotency, queue/state, dependency-failure, degradation and recovery behavior appropriate to the workflow</w:t>
            </w:r>
          </w:p>
        </w:tc>
        <w:tc>
          <w:tcPr>
            <w:tcW w:w="560" w:type="dxa"/>
          </w:tcPr>
          <w:p>
            <w:pPr>
              <w:pStyle w:val="TableBodyCompact"/>
            </w:pPr>
            <w:r>
              <w:t xml:space="preserve">Technical owner</w:t>
            </w:r>
          </w:p>
        </w:tc>
        <w:tc>
          <w:tcPr>
            <w:tcW w:w="3128" w:type="dxa"/>
          </w:tcPr>
          <w:p>
            <w:pPr>
              <w:pStyle w:val="TableBodyCompact"/>
            </w:pPr>
            <w:r>
              <w:t xml:space="preserve">Exercise required failure and recovery scenarios; pass only when business and safety conditions remain within approval</w:t>
            </w:r>
          </w:p>
        </w:tc>
        <w:tc>
          <w:tcPr>
            <w:tcW w:w="1710" w:type="dxa"/>
          </w:tcPr>
          <w:p>
            <w:pPr>
              <w:pStyle w:val="TableBodyCompact"/>
            </w:pPr>
            <w:r>
              <w:t xml:space="preserve">Recovery design; scenario results; unresolved limitations</w:t>
            </w:r>
          </w:p>
        </w:tc>
        <w:tc>
          <w:tcPr>
            <w:tcW w:w="303" w:type="dxa"/>
          </w:tcPr>
          <w:p>
            <w:pPr>
              <w:pStyle w:val="TableBodyCompact"/>
            </w:pPr>
            <w:r>
              <w:t xml:space="preserve">Release; material architecture change; tier cadence</w:t>
            </w:r>
          </w:p>
        </w:tc>
      </w:tr>
      <w:tr>
        <w:tc>
          <w:tcPr>
            <w:tcW w:w="560" w:type="dxa"/>
          </w:tcPr>
          <w:p>
            <w:pPr>
              <w:pStyle w:val="TableBodyCompact"/>
            </w:pPr>
            <w:r>
              <w:rPr>
                <w:rStyle w:val="InlineCode"/>
              </w:rPr>
              <w:t xml:space="preserve">IR-01</w:t>
            </w:r>
          </w:p>
        </w:tc>
        <w:tc>
          <w:tcPr>
            <w:tcW w:w="560" w:type="dxa"/>
          </w:tcPr>
          <w:p>
            <w:pPr>
              <w:pStyle w:val="TableBodyCompact"/>
            </w:pPr>
            <w:r>
              <w:t xml:space="preserve">T1+</w:t>
            </w:r>
          </w:p>
        </w:tc>
        <w:tc>
          <w:tcPr>
            <w:tcW w:w="2899" w:type="dxa"/>
          </w:tcPr>
          <w:p>
            <w:pPr>
              <w:pStyle w:val="TableBodyCompact"/>
            </w:pPr>
            <w:r>
              <w:t xml:space="preserve">Detect, contain, investigate, recover from and learn from agent incidents with named authority and evidence preservation</w:t>
            </w:r>
          </w:p>
        </w:tc>
        <w:tc>
          <w:tcPr>
            <w:tcW w:w="560" w:type="dxa"/>
          </w:tcPr>
          <w:p>
            <w:pPr>
              <w:pStyle w:val="TableBodyCompact"/>
            </w:pPr>
            <w:r>
              <w:t xml:space="preserve">Operations owner</w:t>
            </w:r>
          </w:p>
        </w:tc>
        <w:tc>
          <w:tcPr>
            <w:tcW w:w="3128" w:type="dxa"/>
          </w:tcPr>
          <w:p>
            <w:pPr>
              <w:pStyle w:val="TableBodyCompact"/>
            </w:pPr>
            <w:r>
              <w:t xml:space="preserve">Tabletop or exercise a tier-appropriate incident; pass only when escalation, containment, evidence, communication and recovery decisions are completed</w:t>
            </w:r>
          </w:p>
        </w:tc>
        <w:tc>
          <w:tcPr>
            <w:tcW w:w="1710" w:type="dxa"/>
          </w:tcPr>
          <w:p>
            <w:pPr>
              <w:pStyle w:val="TableBodyCompact"/>
            </w:pPr>
            <w:r>
              <w:t xml:space="preserve">Incident plan; exercise/incident record; corrective actions</w:t>
            </w:r>
          </w:p>
        </w:tc>
        <w:tc>
          <w:tcPr>
            <w:tcW w:w="303" w:type="dxa"/>
          </w:tcPr>
          <w:p>
            <w:pPr>
              <w:pStyle w:val="TableBodyCompact"/>
            </w:pPr>
            <w:r>
              <w:t xml:space="preserve">Before production; tier cadence; incident</w:t>
            </w:r>
          </w:p>
        </w:tc>
      </w:tr>
      <w:tr>
        <w:tc>
          <w:tcPr>
            <w:tcW w:w="560" w:type="dxa"/>
          </w:tcPr>
          <w:p>
            <w:pPr>
              <w:pStyle w:val="TableBodyCompact"/>
            </w:pPr>
            <w:r>
              <w:rPr>
                <w:rStyle w:val="InlineCode"/>
              </w:rPr>
              <w:t xml:space="preserve">EXIT-01</w:t>
            </w:r>
          </w:p>
        </w:tc>
        <w:tc>
          <w:tcPr>
            <w:tcW w:w="560" w:type="dxa"/>
          </w:tcPr>
          <w:p>
            <w:pPr>
              <w:pStyle w:val="TableBodyCompact"/>
            </w:pPr>
            <w:r>
              <w:t xml:space="preserve">T1+</w:t>
            </w:r>
          </w:p>
        </w:tc>
        <w:tc>
          <w:tcPr>
            <w:tcW w:w="2899" w:type="dxa"/>
          </w:tcPr>
          <w:p>
            <w:pPr>
              <w:pStyle w:val="TableBodyCompact"/>
            </w:pPr>
            <w:r>
              <w:t xml:space="preserve">Identify portable, replaceable, restricted and supplier-bound assets and prove the client can retrieve required configuration and evidence</w:t>
            </w:r>
          </w:p>
        </w:tc>
        <w:tc>
          <w:tcPr>
            <w:tcW w:w="560" w:type="dxa"/>
          </w:tcPr>
          <w:p>
            <w:pPr>
              <w:pStyle w:val="TableBodyCompact"/>
            </w:pPr>
            <w:r>
              <w:t xml:space="preserve">Accountable business owner</w:t>
            </w:r>
          </w:p>
        </w:tc>
        <w:tc>
          <w:tcPr>
            <w:tcW w:w="3128" w:type="dxa"/>
          </w:tcPr>
          <w:p>
            <w:pPr>
              <w:pStyle w:val="TableBodyCompact"/>
            </w:pPr>
            <w:r>
              <w:t xml:space="preserve">Perform export and client retrieval; pass only when required artifacts are usable and unresolved dependencies are explicit</w:t>
            </w:r>
          </w:p>
        </w:tc>
        <w:tc>
          <w:tcPr>
            <w:tcW w:w="1710" w:type="dxa"/>
          </w:tcPr>
          <w:p>
            <w:pPr>
              <w:pStyle w:val="TableBodyCompact"/>
            </w:pPr>
            <w:r>
              <w:t xml:space="preserve">Exit inventory; export/migration sample; contractual dependency record</w:t>
            </w:r>
          </w:p>
        </w:tc>
        <w:tc>
          <w:tcPr>
            <w:tcW w:w="303" w:type="dxa"/>
          </w:tcPr>
          <w:p>
            <w:pPr>
              <w:pStyle w:val="TableBodyCompact"/>
            </w:pPr>
            <w:r>
              <w:t xml:space="preserve">Selection; material supplier change; retirement</w:t>
            </w:r>
          </w:p>
        </w:tc>
      </w:tr>
      <w:tr>
        <w:tc>
          <w:tcPr>
            <w:tcW w:w="560" w:type="dxa"/>
          </w:tcPr>
          <w:p>
            <w:pPr>
              <w:pStyle w:val="TableBodyCompact"/>
            </w:pPr>
            <w:r>
              <w:rPr>
                <w:rStyle w:val="InlineCode"/>
              </w:rPr>
              <w:t xml:space="preserve">RET-01</w:t>
            </w:r>
          </w:p>
        </w:tc>
        <w:tc>
          <w:tcPr>
            <w:tcW w:w="560" w:type="dxa"/>
          </w:tcPr>
          <w:p>
            <w:pPr>
              <w:pStyle w:val="TableBodyCompact"/>
            </w:pPr>
            <w:r>
              <w:t xml:space="preserve">T1+</w:t>
            </w:r>
          </w:p>
        </w:tc>
        <w:tc>
          <w:tcPr>
            <w:tcW w:w="2899" w:type="dxa"/>
          </w:tcPr>
          <w:p>
            <w:pPr>
              <w:pStyle w:val="TableBodyCompact"/>
            </w:pPr>
            <w:r>
              <w:t xml:space="preserve">Revoke action authority and access, stop scheduled work, notify dependencies and delete or archive data and evidence under approved rules</w:t>
            </w:r>
          </w:p>
        </w:tc>
        <w:tc>
          <w:tcPr>
            <w:tcW w:w="560" w:type="dxa"/>
          </w:tcPr>
          <w:p>
            <w:pPr>
              <w:pStyle w:val="TableBodyCompact"/>
            </w:pPr>
            <w:r>
              <w:t xml:space="preserve">Registry custodian</w:t>
            </w:r>
          </w:p>
        </w:tc>
        <w:tc>
          <w:tcPr>
            <w:tcW w:w="3128" w:type="dxa"/>
          </w:tcPr>
          <w:p>
            <w:pPr>
              <w:pStyle w:val="TableBodyCompact"/>
            </w:pPr>
            <w:r>
              <w:t xml:space="preserve">Trace deployments, triggers, credentials, data and records; pass only when each has verified closure or an owned open obligation</w:t>
            </w:r>
          </w:p>
        </w:tc>
        <w:tc>
          <w:tcPr>
            <w:tcW w:w="1710" w:type="dxa"/>
          </w:tcPr>
          <w:p>
            <w:pPr>
              <w:pStyle w:val="TableBodyCompact"/>
            </w:pPr>
            <w:r>
              <w:t xml:space="preserve">Revocation tests; deletion/archive evidence; notifications; retirement attestation</w:t>
            </w:r>
          </w:p>
        </w:tc>
        <w:tc>
          <w:tcPr>
            <w:tcW w:w="303" w:type="dxa"/>
          </w:tcPr>
          <w:p>
            <w:pPr>
              <w:pStyle w:val="TableBodyCompact"/>
            </w:pPr>
            <w:r>
              <w:t xml:space="preserve">Retirement</w:t>
            </w:r>
          </w:p>
        </w:tc>
      </w:tr>
    </w:tbl>
    <w:p>
      <w:pPr>
        <w:pStyle w:val="BodyText"/>
      </w:pPr>
      <w:r>
        <w:t xml:space="preserve">MITRE ATLAS can inform threat scenarios for </w:t>
      </w:r>
      <w:r>
        <w:rPr>
          <w:rStyle w:val="InlineCode"/>
        </w:rPr>
        <w:t xml:space="preserve">EVAL-02</w:t>
      </w:r>
      <w:r>
        <w:t xml:space="preserve"> and </w:t>
      </w:r>
      <w:r>
        <w:rPr>
          <w:rStyle w:val="InlineCode"/>
        </w:rPr>
        <w:t xml:space="preserve">IR-01</w:t>
      </w:r>
      <w:r>
        <w:t xml:space="preserve">, but it is a threat-informed knowledge base, not a compliance standard or proof that the scenario set is complete. [G14]</w:t>
      </w:r>
    </w:p>
    <w:p>
      <w:pPr>
        <w:pStyle w:val="Heading2"/>
      </w:pPr>
      <w:r>
        <w:t xml:space="preserve">7. Evidence sufficiency and assurance method</w:t>
      </w:r>
    </w:p>
    <w:p>
      <w:pPr>
        <w:pStyle w:val="Heading3"/>
      </w:pPr>
      <w:r>
        <w:t xml:space="preserve">Evidence sufficiency test</w:t>
      </w:r>
    </w:p>
    <w:p>
      <w:pPr>
        <w:pStyle w:val="BodyText"/>
      </w:pPr>
      <w:r>
        <w:t xml:space="preserve">Evidence is sufficient only when all applicable conditions pass:</w:t>
      </w:r>
    </w:p>
    <w:tbl>
      <w:tblPr>
        <w:tblStyle w:val="ContentTable"/>
        <w:tblW w:w="9720" w:type="dxa"/>
        <w:tblLayout w:type="fixed"/>
        <w:tblLook w:val="04A0" w:firstRow="1" w:lastRow="0" w:firstColumn="0" w:lastColumn="0" w:noHBand="0" w:noVBand="1"/>
      </w:tblPr>
      <w:tblGrid>
        <w:gridCol w:w="1479"/>
        <w:gridCol w:w="8241"/>
      </w:tblGrid>
      <w:tr>
        <w:trPr>
          <w:tblHeader/>
        </w:trPr>
        <w:tc>
          <w:tcPr>
            <w:tcW w:w="1479" w:type="dxa"/>
            <w:shd w:val="clear" w:color="auto" w:fill="F5F0E7"/>
          </w:tcPr>
          <w:p>
            <w:pPr>
              <w:pStyle w:val="TableHeader"/>
            </w:pPr>
            <w:r>
              <w:t xml:space="preserve">Condition</w:t>
            </w:r>
          </w:p>
        </w:tc>
        <w:tc>
          <w:tcPr>
            <w:tcW w:w="8241" w:type="dxa"/>
            <w:shd w:val="clear" w:color="auto" w:fill="F5F0E7"/>
          </w:tcPr>
          <w:p>
            <w:pPr>
              <w:pStyle w:val="TableHeader"/>
            </w:pPr>
            <w:r>
              <w:t xml:space="preserve">Test</w:t>
            </w:r>
          </w:p>
        </w:tc>
      </w:tr>
      <w:tr>
        <w:tc>
          <w:tcPr>
            <w:tcW w:w="1479" w:type="dxa"/>
          </w:tcPr>
          <w:p>
            <w:pPr>
              <w:pStyle w:val="TableBody"/>
            </w:pPr>
            <w:r>
              <w:t xml:space="preserve">Relevant</w:t>
            </w:r>
          </w:p>
        </w:tc>
        <w:tc>
          <w:tcPr>
            <w:tcW w:w="8241" w:type="dxa"/>
          </w:tcPr>
          <w:p>
            <w:pPr>
              <w:pStyle w:val="TableBody"/>
            </w:pPr>
            <w:r>
              <w:t xml:space="preserve">Demonstrates the stated control and approved boundary, not a nearby capability</w:t>
            </w:r>
          </w:p>
        </w:tc>
      </w:tr>
      <w:tr>
        <w:tc>
          <w:tcPr>
            <w:tcW w:w="1479" w:type="dxa"/>
          </w:tcPr>
          <w:p>
            <w:pPr>
              <w:pStyle w:val="TableBody"/>
            </w:pPr>
            <w:r>
              <w:t xml:space="preserve">Attributable</w:t>
            </w:r>
          </w:p>
        </w:tc>
        <w:tc>
          <w:tcPr>
            <w:tcW w:w="8241" w:type="dxa"/>
          </w:tcPr>
          <w:p>
            <w:pPr>
              <w:pStyle w:val="TableBody"/>
            </w:pPr>
            <w:r>
              <w:t xml:space="preserve">Names the source system, collector, owner and collection time</w:t>
            </w:r>
          </w:p>
        </w:tc>
      </w:tr>
      <w:tr>
        <w:tc>
          <w:tcPr>
            <w:tcW w:w="1479" w:type="dxa"/>
          </w:tcPr>
          <w:p>
            <w:pPr>
              <w:pStyle w:val="TableBody"/>
            </w:pPr>
            <w:r>
              <w:t xml:space="preserve">Version-scoped</w:t>
            </w:r>
          </w:p>
        </w:tc>
        <w:tc>
          <w:tcPr>
            <w:tcW w:w="8241" w:type="dxa"/>
          </w:tcPr>
          <w:p>
            <w:pPr>
              <w:pStyle w:val="TableBody"/>
            </w:pPr>
            <w:r>
              <w:t xml:space="preserve">Resolves to the release, configuration and environment under decision</w:t>
            </w:r>
          </w:p>
        </w:tc>
      </w:tr>
      <w:tr>
        <w:tc>
          <w:tcPr>
            <w:tcW w:w="1479" w:type="dxa"/>
          </w:tcPr>
          <w:p>
            <w:pPr>
              <w:pStyle w:val="TableBody"/>
            </w:pPr>
            <w:r>
              <w:t xml:space="preserve">Representative</w:t>
            </w:r>
          </w:p>
        </w:tc>
        <w:tc>
          <w:tcPr>
            <w:tcW w:w="8241" w:type="dxa"/>
          </w:tcPr>
          <w:p>
            <w:pPr>
              <w:pStyle w:val="TableBody"/>
            </w:pPr>
            <w:r>
              <w:t xml:space="preserve">Covers the users, data, tools, actions and failures material to the decision</w:t>
            </w:r>
          </w:p>
        </w:tc>
      </w:tr>
      <w:tr>
        <w:tc>
          <w:tcPr>
            <w:tcW w:w="1479" w:type="dxa"/>
          </w:tcPr>
          <w:p>
            <w:pPr>
              <w:pStyle w:val="TableBody"/>
            </w:pPr>
            <w:r>
              <w:t xml:space="preserve">Reproducible</w:t>
            </w:r>
          </w:p>
        </w:tc>
        <w:tc>
          <w:tcPr>
            <w:tcW w:w="8241" w:type="dxa"/>
          </w:tcPr>
          <w:p>
            <w:pPr>
              <w:pStyle w:val="TableBody"/>
            </w:pPr>
            <w:r>
              <w:t xml:space="preserve">Records enough method, input and expected result to repeat the test</w:t>
            </w:r>
          </w:p>
        </w:tc>
      </w:tr>
      <w:tr>
        <w:tc>
          <w:tcPr>
            <w:tcW w:w="1479" w:type="dxa"/>
          </w:tcPr>
          <w:p>
            <w:pPr>
              <w:pStyle w:val="TableBody"/>
            </w:pPr>
            <w:r>
              <w:t xml:space="preserve">Complete</w:t>
            </w:r>
          </w:p>
        </w:tc>
        <w:tc>
          <w:tcPr>
            <w:tcW w:w="8241" w:type="dxa"/>
          </w:tcPr>
          <w:p>
            <w:pPr>
              <w:pStyle w:val="TableBody"/>
            </w:pPr>
            <w:r>
              <w:t xml:space="preserve">Includes negative, denied and failed paths where the control depends on them</w:t>
            </w:r>
          </w:p>
        </w:tc>
      </w:tr>
      <w:tr>
        <w:tc>
          <w:tcPr>
            <w:tcW w:w="1479" w:type="dxa"/>
          </w:tcPr>
          <w:p>
            <w:pPr>
              <w:pStyle w:val="TableBody"/>
            </w:pPr>
            <w:r>
              <w:t xml:space="preserve">Fresh</w:t>
            </w:r>
          </w:p>
        </w:tc>
        <w:tc>
          <w:tcPr>
            <w:tcW w:w="8241" w:type="dxa"/>
          </w:tcPr>
          <w:p>
            <w:pPr>
              <w:pStyle w:val="TableBody"/>
            </w:pPr>
            <w:r>
              <w:t xml:space="preserve">Collected after the last material change and within the approved cadence</w:t>
            </w:r>
          </w:p>
        </w:tc>
      </w:tr>
      <w:tr>
        <w:tc>
          <w:tcPr>
            <w:tcW w:w="1479" w:type="dxa"/>
          </w:tcPr>
          <w:p>
            <w:pPr>
              <w:pStyle w:val="TableBody"/>
            </w:pPr>
            <w:r>
              <w:t xml:space="preserve">Independent</w:t>
            </w:r>
          </w:p>
        </w:tc>
        <w:tc>
          <w:tcPr>
            <w:tcW w:w="8241" w:type="dxa"/>
          </w:tcPr>
          <w:p>
            <w:pPr>
              <w:pStyle w:val="TableBody"/>
            </w:pPr>
            <w:r>
              <w:t xml:space="preserve">Uses the assurance role and separation required by GOV1 tier</w:t>
            </w:r>
          </w:p>
        </w:tc>
      </w:tr>
      <w:tr>
        <w:tc>
          <w:tcPr>
            <w:tcW w:w="1479" w:type="dxa"/>
          </w:tcPr>
          <w:p>
            <w:pPr>
              <w:pStyle w:val="TableBody"/>
            </w:pPr>
            <w:r>
              <w:t xml:space="preserve">Retrievable</w:t>
            </w:r>
          </w:p>
        </w:tc>
        <w:tc>
          <w:tcPr>
            <w:tcW w:w="8241" w:type="dxa"/>
          </w:tcPr>
          <w:p>
            <w:pPr>
              <w:pStyle w:val="TableBody"/>
            </w:pPr>
            <w:r>
              <w:t xml:space="preserve">Can be obtained through the approved client-controlled path</w:t>
            </w:r>
          </w:p>
        </w:tc>
      </w:tr>
      <w:tr>
        <w:tc>
          <w:tcPr>
            <w:tcW w:w="1479" w:type="dxa"/>
          </w:tcPr>
          <w:p>
            <w:pPr>
              <w:pStyle w:val="TableBody"/>
            </w:pPr>
            <w:r>
              <w:t xml:space="preserve">Retained</w:t>
            </w:r>
          </w:p>
        </w:tc>
        <w:tc>
          <w:tcPr>
            <w:tcW w:w="8241" w:type="dxa"/>
          </w:tcPr>
          <w:p>
            <w:pPr>
              <w:pStyle w:val="TableBody"/>
            </w:pPr>
            <w:r>
              <w:t xml:space="preserve">Has an owner, retention class, access rule and disposal rule</w:t>
            </w:r>
          </w:p>
        </w:tc>
      </w:tr>
    </w:tbl>
    <w:p>
      <w:pPr>
        <w:pStyle w:val="BodyText"/>
      </w:pPr>
      <w:r>
        <w:t xml:space="preserve">An interview, screenshot or supplier statement may support context but is not sole evidence for an enforceable technical boundary. Vendor material is labelled </w:t>
      </w:r>
      <w:r>
        <w:rPr>
          <w:rStyle w:val="InlineCode"/>
        </w:rPr>
        <w:t xml:space="preserve">vendor-documented</w:t>
      </w:r>
      <w:r>
        <w:t xml:space="preserve"> until target-environment evidence supports the control.</w:t>
      </w:r>
    </w:p>
    <w:p>
      <w:pPr>
        <w:pStyle w:val="Heading3"/>
      </w:pPr>
      <w:r>
        <w:t xml:space="preserve">Sampling</w:t>
      </w:r>
    </w:p>
    <w:p>
      <w:pPr>
        <w:pStyle w:val="ListParagraph"/>
        <w:numPr>
          <w:ilvl w:val="0"/>
          <w:numId w:val="12"/>
        </w:numPr>
      </w:pPr>
      <w:r>
        <w:t xml:space="preserve">Record population, period, sampling method, sample size and exclusions.</w:t>
      </w:r>
    </w:p>
    <w:p>
      <w:pPr>
        <w:pStyle w:val="ListParagraph"/>
        <w:numPr>
          <w:ilvl w:val="0"/>
          <w:numId w:val="12"/>
        </w:numPr>
      </w:pPr>
      <w:r>
        <w:t xml:space="preserve">Include at least one allowed, denied and failed path when those paths exist.</w:t>
      </w:r>
    </w:p>
    <w:p>
      <w:pPr>
        <w:pStyle w:val="ListParagraph"/>
        <w:numPr>
          <w:ilvl w:val="0"/>
          <w:numId w:val="12"/>
        </w:numPr>
      </w:pPr>
      <w:r>
        <w:t xml:space="preserve">Increase depth for higher tiers, broad user populations, high action authority, weak telemetry, recent incidents or prior control failures.</w:t>
      </w:r>
    </w:p>
    <w:p>
      <w:pPr>
        <w:pStyle w:val="ListParagraph"/>
        <w:numPr>
          <w:ilvl w:val="0"/>
          <w:numId w:val="12"/>
        </w:numPr>
      </w:pPr>
      <w:r>
        <w:t xml:space="preserve">Do not convert absence of observed failure into proof that a control works.</w:t>
      </w:r>
    </w:p>
    <w:p>
      <w:pPr>
        <w:pStyle w:val="Heading3"/>
      </w:pPr>
      <w:r>
        <w:t xml:space="preserve">Failed-control handling</w:t>
      </w:r>
    </w:p>
    <w:tbl>
      <w:tblPr>
        <w:tblStyle w:val="ContentTable"/>
        <w:tblW w:w="9720" w:type="dxa"/>
        <w:tblLayout w:type="fixed"/>
        <w:tblLook w:val="04A0" w:firstRow="1" w:lastRow="0" w:firstColumn="0" w:lastColumn="0" w:noHBand="0" w:noVBand="1"/>
      </w:tblPr>
      <w:tblGrid>
        <w:gridCol w:w="1285"/>
        <w:gridCol w:w="8435"/>
      </w:tblGrid>
      <w:tr>
        <w:trPr>
          <w:tblHeader/>
        </w:trPr>
        <w:tc>
          <w:tcPr>
            <w:tcW w:w="1285" w:type="dxa"/>
            <w:shd w:val="clear" w:color="auto" w:fill="F5F0E7"/>
          </w:tcPr>
          <w:p>
            <w:pPr>
              <w:pStyle w:val="TableHeader"/>
            </w:pPr>
            <w:r>
              <w:t xml:space="preserve">Result</w:t>
            </w:r>
          </w:p>
        </w:tc>
        <w:tc>
          <w:tcPr>
            <w:tcW w:w="8435" w:type="dxa"/>
            <w:shd w:val="clear" w:color="auto" w:fill="F5F0E7"/>
          </w:tcPr>
          <w:p>
            <w:pPr>
              <w:pStyle w:val="TableHeader"/>
            </w:pPr>
            <w:r>
              <w:t xml:space="preserve">Lifecycle gate treatment</w:t>
            </w:r>
          </w:p>
        </w:tc>
      </w:tr>
      <w:tr>
        <w:tc>
          <w:tcPr>
            <w:tcW w:w="1285" w:type="dxa"/>
          </w:tcPr>
          <w:p>
            <w:pPr>
              <w:pStyle w:val="TableBody"/>
            </w:pPr>
            <w:r>
              <w:rPr>
                <w:rStyle w:val="InlineCode"/>
              </w:rPr>
              <w:t xml:space="preserve">PASS</w:t>
            </w:r>
          </w:p>
        </w:tc>
        <w:tc>
          <w:tcPr>
            <w:tcW w:w="8435" w:type="dxa"/>
          </w:tcPr>
          <w:p>
            <w:pPr>
              <w:pStyle w:val="TableBody"/>
            </w:pPr>
            <w:r>
              <w:t xml:space="preserve">Control supports the decision for the evidenced version and period</w:t>
            </w:r>
          </w:p>
        </w:tc>
      </w:tr>
      <w:tr>
        <w:tc>
          <w:tcPr>
            <w:tcW w:w="1285" w:type="dxa"/>
          </w:tcPr>
          <w:p>
            <w:pPr>
              <w:pStyle w:val="TableBody"/>
            </w:pPr>
            <w:r>
              <w:rPr>
                <w:rStyle w:val="InlineCode"/>
              </w:rPr>
              <w:t xml:space="preserve">FAIL</w:t>
            </w:r>
          </w:p>
        </w:tc>
        <w:tc>
          <w:tcPr>
            <w:tcW w:w="8435" w:type="dxa"/>
          </w:tcPr>
          <w:p>
            <w:pPr>
              <w:pStyle w:val="TableBody"/>
            </w:pPr>
            <w:r>
              <w:t xml:space="preserve">Lifecycle gate decision fails unless a current GOV1 exception permits the documented compensating outcome</w:t>
            </w:r>
          </w:p>
        </w:tc>
      </w:tr>
      <w:tr>
        <w:tc>
          <w:tcPr>
            <w:tcW w:w="1285" w:type="dxa"/>
          </w:tcPr>
          <w:p>
            <w:pPr>
              <w:pStyle w:val="TableBody"/>
            </w:pPr>
            <w:r>
              <w:rPr>
                <w:rStyle w:val="InlineCode"/>
              </w:rPr>
              <w:t xml:space="preserve">UNKNOWN</w:t>
            </w:r>
          </w:p>
        </w:tc>
        <w:tc>
          <w:tcPr>
            <w:tcW w:w="8435" w:type="dxa"/>
          </w:tcPr>
          <w:p>
            <w:pPr>
              <w:pStyle w:val="TableBody"/>
            </w:pPr>
            <w:r>
              <w:t xml:space="preserve">Mandatory control fails; open an owner and evidence action</w:t>
            </w:r>
          </w:p>
        </w:tc>
      </w:tr>
      <w:tr>
        <w:tc>
          <w:tcPr>
            <w:tcW w:w="1285" w:type="dxa"/>
          </w:tcPr>
          <w:p>
            <w:pPr>
              <w:pStyle w:val="TableBody"/>
            </w:pPr>
            <w:r>
              <w:rPr>
                <w:rStyle w:val="InlineCode"/>
              </w:rPr>
              <w:t xml:space="preserve">NOT APPLICABLE</w:t>
            </w:r>
          </w:p>
        </w:tc>
        <w:tc>
          <w:tcPr>
            <w:tcW w:w="8435" w:type="dxa"/>
          </w:tcPr>
          <w:p>
            <w:pPr>
              <w:pStyle w:val="TableBody"/>
            </w:pPr>
            <w:r>
              <w:t xml:space="preserve">Accept only with recorded rationale, approver and applicability trigger</w:t>
            </w:r>
          </w:p>
        </w:tc>
      </w:tr>
    </w:tbl>
    <w:p>
      <w:pPr>
        <w:pStyle w:val="BodyText"/>
      </w:pPr>
      <w:r>
        <w:t xml:space="preserve">Route back to the earliest lifecycle gate whose evidence is invalid:</w:t>
      </w:r>
    </w:p>
    <w:tbl>
      <w:tblPr>
        <w:tblStyle w:val="ContentTable"/>
        <w:tblW w:w="9720" w:type="dxa"/>
        <w:tblLayout w:type="fixed"/>
        <w:tblLook w:val="04A0" w:firstRow="1" w:lastRow="0" w:firstColumn="0" w:lastColumn="0" w:noHBand="0" w:noVBand="1"/>
      </w:tblPr>
      <w:tblGrid>
        <w:gridCol w:w="7049"/>
        <w:gridCol w:w="2671"/>
      </w:tblGrid>
      <w:tr>
        <w:trPr>
          <w:tblHeader/>
        </w:trPr>
        <w:tc>
          <w:tcPr>
            <w:tcW w:w="7049" w:type="dxa"/>
            <w:shd w:val="clear" w:color="auto" w:fill="F5F0E7"/>
          </w:tcPr>
          <w:p>
            <w:pPr>
              <w:pStyle w:val="TableHeader"/>
            </w:pPr>
            <w:r>
              <w:t xml:space="preserve">Finding</w:t>
            </w:r>
          </w:p>
        </w:tc>
        <w:tc>
          <w:tcPr>
            <w:tcW w:w="2671" w:type="dxa"/>
            <w:shd w:val="clear" w:color="auto" w:fill="F5F0E7"/>
          </w:tcPr>
          <w:p>
            <w:pPr>
              <w:pStyle w:val="TableHeader"/>
            </w:pPr>
            <w:r>
              <w:t xml:space="preserve">Earliest usual route-back</w:t>
            </w:r>
          </w:p>
        </w:tc>
      </w:tr>
      <w:tr>
        <w:tc>
          <w:tcPr>
            <w:tcW w:w="7049" w:type="dxa"/>
          </w:tcPr>
          <w:p>
            <w:pPr>
              <w:pStyle w:val="TableBody"/>
            </w:pPr>
            <w:r>
              <w:t xml:space="preserve">Purpose, owner, prohibited use or tier invalid</w:t>
            </w:r>
          </w:p>
        </w:tc>
        <w:tc>
          <w:tcPr>
            <w:tcW w:w="2671" w:type="dxa"/>
          </w:tcPr>
          <w:p>
            <w:pPr>
              <w:pStyle w:val="TableBody"/>
            </w:pPr>
            <w:r>
              <w:t xml:space="preserve">L1</w:t>
            </w:r>
          </w:p>
        </w:tc>
      </w:tr>
      <w:tr>
        <w:tc>
          <w:tcPr>
            <w:tcW w:w="7049" w:type="dxa"/>
          </w:tcPr>
          <w:p>
            <w:pPr>
              <w:pStyle w:val="TableBody"/>
            </w:pPr>
            <w:r>
              <w:t xml:space="preserve">Boundary, data, authority or acceptance design invalid</w:t>
            </w:r>
          </w:p>
        </w:tc>
        <w:tc>
          <w:tcPr>
            <w:tcW w:w="2671" w:type="dxa"/>
          </w:tcPr>
          <w:p>
            <w:pPr>
              <w:pStyle w:val="TableBody"/>
            </w:pPr>
            <w:r>
              <w:t xml:space="preserve">L2</w:t>
            </w:r>
          </w:p>
        </w:tc>
      </w:tr>
      <w:tr>
        <w:tc>
          <w:tcPr>
            <w:tcW w:w="7049" w:type="dxa"/>
          </w:tcPr>
          <w:p>
            <w:pPr>
              <w:pStyle w:val="TableBody"/>
            </w:pPr>
            <w:r>
              <w:t xml:space="preserve">Component ownership, build provenance or implementability invalid</w:t>
            </w:r>
          </w:p>
        </w:tc>
        <w:tc>
          <w:tcPr>
            <w:tcW w:w="2671" w:type="dxa"/>
          </w:tcPr>
          <w:p>
            <w:pPr>
              <w:pStyle w:val="TableBody"/>
            </w:pPr>
            <w:r>
              <w:t xml:space="preserve">L3</w:t>
            </w:r>
          </w:p>
        </w:tc>
      </w:tr>
      <w:tr>
        <w:tc>
          <w:tcPr>
            <w:tcW w:w="7049" w:type="dxa"/>
          </w:tcPr>
          <w:p>
            <w:pPr>
              <w:pStyle w:val="TableBody"/>
            </w:pPr>
            <w:r>
              <w:t xml:space="preserve">Test result, control effectiveness or residual finding invalid</w:t>
            </w:r>
          </w:p>
        </w:tc>
        <w:tc>
          <w:tcPr>
            <w:tcW w:w="2671" w:type="dxa"/>
          </w:tcPr>
          <w:p>
            <w:pPr>
              <w:pStyle w:val="TableBody"/>
            </w:pPr>
            <w:r>
              <w:t xml:space="preserve">L4</w:t>
            </w:r>
          </w:p>
        </w:tc>
      </w:tr>
      <w:tr>
        <w:tc>
          <w:tcPr>
            <w:tcW w:w="7049" w:type="dxa"/>
          </w:tcPr>
          <w:p>
            <w:pPr>
              <w:pStyle w:val="TableBody"/>
            </w:pPr>
            <w:r>
              <w:t xml:space="preserve">Authorization, version pin or operational acceptance invalid</w:t>
            </w:r>
          </w:p>
        </w:tc>
        <w:tc>
          <w:tcPr>
            <w:tcW w:w="2671" w:type="dxa"/>
          </w:tcPr>
          <w:p>
            <w:pPr>
              <w:pStyle w:val="TableBody"/>
            </w:pPr>
            <w:r>
              <w:t xml:space="preserve">L5</w:t>
            </w:r>
          </w:p>
        </w:tc>
      </w:tr>
      <w:tr>
        <w:tc>
          <w:tcPr>
            <w:tcW w:w="7049" w:type="dxa"/>
          </w:tcPr>
          <w:p>
            <w:pPr>
              <w:pStyle w:val="TableBody"/>
            </w:pPr>
            <w:r>
              <w:t xml:space="preserve">Monitoring, drift, review cadence or change classification invalid</w:t>
            </w:r>
          </w:p>
        </w:tc>
        <w:tc>
          <w:tcPr>
            <w:tcW w:w="2671" w:type="dxa"/>
          </w:tcPr>
          <w:p>
            <w:pPr>
              <w:pStyle w:val="TableBody"/>
            </w:pPr>
            <w:r>
              <w:t xml:space="preserve">L6</w:t>
            </w:r>
          </w:p>
        </w:tc>
      </w:tr>
      <w:tr>
        <w:tc>
          <w:tcPr>
            <w:tcW w:w="7049" w:type="dxa"/>
          </w:tcPr>
          <w:p>
            <w:pPr>
              <w:pStyle w:val="TableBody"/>
            </w:pPr>
            <w:r>
              <w:t xml:space="preserve">Containment, corrective action or restart evidence invalid</w:t>
            </w:r>
          </w:p>
        </w:tc>
        <w:tc>
          <w:tcPr>
            <w:tcW w:w="2671" w:type="dxa"/>
          </w:tcPr>
          <w:p>
            <w:pPr>
              <w:pStyle w:val="TableBody"/>
            </w:pPr>
            <w:r>
              <w:t xml:space="preserve">L7</w:t>
            </w:r>
          </w:p>
        </w:tc>
      </w:tr>
      <w:tr>
        <w:tc>
          <w:tcPr>
            <w:tcW w:w="7049" w:type="dxa"/>
          </w:tcPr>
          <w:p>
            <w:pPr>
              <w:pStyle w:val="TableBody"/>
            </w:pPr>
            <w:r>
              <w:t xml:space="preserve">Revocation, export, deletion or archive evidence invalid</w:t>
            </w:r>
          </w:p>
        </w:tc>
        <w:tc>
          <w:tcPr>
            <w:tcW w:w="2671" w:type="dxa"/>
          </w:tcPr>
          <w:p>
            <w:pPr>
              <w:pStyle w:val="TableBody"/>
            </w:pPr>
            <w:r>
              <w:t xml:space="preserve">L8</w:t>
            </w:r>
          </w:p>
        </w:tc>
      </w:tr>
    </w:tbl>
    <w:p>
      <w:pPr>
        <w:pStyle w:val="Heading2"/>
      </w:pPr>
      <w:r>
        <w:t xml:space="preserve">8. Standards crosswalk</w:t>
      </w:r>
    </w:p>
    <w:p>
      <w:pPr>
        <w:pStyle w:val="Heading3"/>
      </w:pPr>
      <w:r>
        <w:t xml:space="preserve">Mapping rules</w:t>
      </w:r>
    </w:p>
    <w:p>
      <w:pPr>
        <w:pStyle w:val="ListParagraph"/>
        <w:numPr>
          <w:ilvl w:val="0"/>
          <w:numId w:val="13"/>
        </w:numPr>
      </w:pPr>
      <w:r>
        <w:rPr>
          <w:b/>
        </w:rPr>
        <w:t xml:space="preserve">Direct</w:t>
      </w:r>
      <w:r>
        <w:t xml:space="preserve"> means the cited source explicitly states the outcome GOV3 operationalizes. It does not mean word-for-word adoption or conformity.</w:t>
      </w:r>
    </w:p>
    <w:p>
      <w:pPr>
        <w:pStyle w:val="ListParagraph"/>
        <w:numPr>
          <w:ilvl w:val="0"/>
          <w:numId w:val="13"/>
        </w:numPr>
      </w:pPr>
      <w:r>
        <w:rPr>
          <w:b/>
        </w:rPr>
        <w:t xml:space="preserve">Partial</w:t>
      </w:r>
      <w:r>
        <w:t xml:space="preserve"> means the source explicitly supports part of the control, while GOV3 adds material scope, evidence or decision requirements.</w:t>
      </w:r>
    </w:p>
    <w:p>
      <w:pPr>
        <w:pStyle w:val="ListParagraph"/>
        <w:numPr>
          <w:ilvl w:val="0"/>
          <w:numId w:val="13"/>
        </w:numPr>
      </w:pPr>
      <w:r>
        <w:rPr>
          <w:b/>
        </w:rPr>
        <w:t xml:space="preserve">Informative</w:t>
      </w:r>
      <w:r>
        <w:t xml:space="preserve"> means the source helps interpret, test or challenge the control. It does not create normative equivalence.</w:t>
      </w:r>
    </w:p>
    <w:p>
      <w:pPr>
        <w:pStyle w:val="ListParagraph"/>
        <w:numPr>
          <w:ilvl w:val="0"/>
          <w:numId w:val="13"/>
        </w:numPr>
      </w:pPr>
      <w:r>
        <w:rPr>
          <w:b/>
        </w:rPr>
        <w:t xml:space="preserve">None</w:t>
      </w:r>
      <w:r>
        <w:t xml:space="preserve"> means GOV3 found no support in the reviewed source set. It must not be silently upgraded to a mapping.</w:t>
      </w:r>
    </w:p>
    <w:p>
      <w:pPr>
        <w:pStyle w:val="BodyText"/>
      </w:pPr>
      <w:r>
        <w:t xml:space="preserve">NIST SP 800-53 is a flexible and customizable security and privacy control catalog that addresses both control functionality and assurance confidence. [G11] CSF 2.0 and MITRE ATLAS are used only where their outcome or threat perspective helps the control owner; neither proves an agent-specific control. [G13] [G14] ISO/IEC 42001 is mapped only at management-system level. [G15]</w:t>
      </w:r>
    </w:p>
    <w:tbl>
      <w:tblPr>
        <w:tblStyle w:val="ContentTable"/>
        <w:tblW w:w="9720" w:type="dxa"/>
        <w:tblLayout w:type="fixed"/>
        <w:tblLook w:val="04A0" w:firstRow="1" w:lastRow="0" w:firstColumn="0" w:lastColumn="0" w:noHBand="0" w:noVBand="1"/>
      </w:tblPr>
      <w:tblGrid>
        <w:gridCol w:w="1045"/>
        <w:gridCol w:w="2712"/>
        <w:gridCol w:w="2260"/>
        <w:gridCol w:w="3703"/>
      </w:tblGrid>
      <w:tr>
        <w:trPr>
          <w:tblHeader/>
        </w:trPr>
        <w:tc>
          <w:tcPr>
            <w:tcW w:w="1045" w:type="dxa"/>
            <w:shd w:val="clear" w:color="auto" w:fill="F5F0E7"/>
          </w:tcPr>
          <w:p>
            <w:pPr>
              <w:pStyle w:val="TableHeader"/>
            </w:pPr>
            <w:r>
              <w:t xml:space="preserve">GOV3 controls</w:t>
            </w:r>
          </w:p>
        </w:tc>
        <w:tc>
          <w:tcPr>
            <w:tcW w:w="2712" w:type="dxa"/>
            <w:shd w:val="clear" w:color="auto" w:fill="F5F0E7"/>
          </w:tcPr>
          <w:p>
            <w:pPr>
              <w:pStyle w:val="TableHeader"/>
            </w:pPr>
            <w:r>
              <w:t xml:space="preserve">Direct or partial mapping</w:t>
            </w:r>
          </w:p>
        </w:tc>
        <w:tc>
          <w:tcPr>
            <w:tcW w:w="2260" w:type="dxa"/>
            <w:shd w:val="clear" w:color="auto" w:fill="F5F0E7"/>
          </w:tcPr>
          <w:p>
            <w:pPr>
              <w:pStyle w:val="TableHeader"/>
            </w:pPr>
            <w:r>
              <w:t xml:space="preserve">Informative alignment</w:t>
            </w:r>
          </w:p>
        </w:tc>
        <w:tc>
          <w:tcPr>
            <w:tcW w:w="3703" w:type="dxa"/>
            <w:shd w:val="clear" w:color="auto" w:fill="F5F0E7"/>
          </w:tcPr>
          <w:p>
            <w:pPr>
              <w:pStyle w:val="TableHeader"/>
            </w:pPr>
            <w:r>
              <w:t xml:space="preserve">Limit</w:t>
            </w:r>
          </w:p>
        </w:tc>
      </w:tr>
      <w:tr>
        <w:tc>
          <w:tcPr>
            <w:tcW w:w="1045" w:type="dxa"/>
          </w:tcPr>
          <w:p>
            <w:pPr>
              <w:pStyle w:val="TableBody"/>
            </w:pPr>
            <w:r>
              <w:rPr>
                <w:rStyle w:val="InlineCode"/>
              </w:rPr>
              <w:t xml:space="preserve">GOV-01</w:t>
            </w:r>
            <w:r>
              <w:t xml:space="preserve">, </w:t>
            </w:r>
            <w:r>
              <w:rPr>
                <w:rStyle w:val="InlineCode"/>
              </w:rPr>
              <w:t xml:space="preserve">GOV-02</w:t>
            </w:r>
          </w:p>
        </w:tc>
        <w:tc>
          <w:tcPr>
            <w:tcW w:w="2712" w:type="dxa"/>
          </w:tcPr>
          <w:p>
            <w:pPr>
              <w:pStyle w:val="TableBody"/>
            </w:pPr>
            <w:r>
              <w:rPr>
                <w:b/>
              </w:rPr>
              <w:t xml:space="preserve">Direct:</w:t>
            </w:r>
            <w:r>
              <w:t xml:space="preserve"> AI RMF GOVERN and MAP outcomes [G08]</w:t>
            </w:r>
          </w:p>
        </w:tc>
        <w:tc>
          <w:tcPr>
            <w:tcW w:w="2260" w:type="dxa"/>
          </w:tcPr>
          <w:p>
            <w:pPr>
              <w:pStyle w:val="TableBody"/>
            </w:pPr>
            <w:r>
              <w:t xml:space="preserve">CSF 2.0 GOVERN [G13]; ISO/IEC 42001 management-system interface [G15]</w:t>
            </w:r>
          </w:p>
        </w:tc>
        <w:tc>
          <w:tcPr>
            <w:tcW w:w="3703" w:type="dxa"/>
          </w:tcPr>
          <w:p>
            <w:pPr>
              <w:pStyle w:val="TableBody"/>
            </w:pPr>
            <w:r>
              <w:t xml:space="preserve">No ISO clause mapping or legal applicability conclusion</w:t>
            </w:r>
          </w:p>
        </w:tc>
      </w:tr>
      <w:tr>
        <w:tc>
          <w:tcPr>
            <w:tcW w:w="1045" w:type="dxa"/>
          </w:tcPr>
          <w:p>
            <w:pPr>
              <w:pStyle w:val="TableBody"/>
            </w:pPr>
            <w:r>
              <w:rPr>
                <w:rStyle w:val="InlineCode"/>
              </w:rPr>
              <w:t xml:space="preserve">DAT-01</w:t>
            </w:r>
            <w:r>
              <w:t xml:space="preserve">, </w:t>
            </w:r>
            <w:r>
              <w:rPr>
                <w:rStyle w:val="InlineCode"/>
              </w:rPr>
              <w:t xml:space="preserve">DAT-02</w:t>
            </w:r>
          </w:p>
        </w:tc>
        <w:tc>
          <w:tcPr>
            <w:tcW w:w="2712" w:type="dxa"/>
          </w:tcPr>
          <w:p>
            <w:pPr>
              <w:pStyle w:val="TableBody"/>
            </w:pPr>
            <w:r>
              <w:rPr>
                <w:b/>
              </w:rPr>
              <w:t xml:space="preserve">Partial:</w:t>
            </w:r>
            <w:r>
              <w:t xml:space="preserve"> AI RMF MAP and MEASURE outcomes [G08]</w:t>
            </w:r>
          </w:p>
        </w:tc>
        <w:tc>
          <w:tcPr>
            <w:tcW w:w="2260" w:type="dxa"/>
          </w:tcPr>
          <w:p>
            <w:pPr>
              <w:pStyle w:val="TableBody"/>
            </w:pPr>
            <w:r>
              <w:t xml:space="preserve">SP 800-53 security/privacy catalog [G11]; CSF 2.0 IDENTIFY/PROTECT [G13]</w:t>
            </w:r>
          </w:p>
        </w:tc>
        <w:tc>
          <w:tcPr>
            <w:tcW w:w="3703" w:type="dxa"/>
          </w:tcPr>
          <w:p>
            <w:pPr>
              <w:pStyle w:val="TableBody"/>
            </w:pPr>
            <w:r>
              <w:t xml:space="preserve">Client obligations and exact technical boundary remain deployment-specific</w:t>
            </w:r>
          </w:p>
        </w:tc>
      </w:tr>
      <w:tr>
        <w:tc>
          <w:tcPr>
            <w:tcW w:w="1045" w:type="dxa"/>
          </w:tcPr>
          <w:p>
            <w:pPr>
              <w:pStyle w:val="TableBody"/>
            </w:pPr>
            <w:r>
              <w:rPr>
                <w:rStyle w:val="InlineCode"/>
              </w:rPr>
              <w:t xml:space="preserve">IAM-01</w:t>
            </w:r>
            <w:r>
              <w:t xml:space="preserve">, </w:t>
            </w:r>
            <w:r>
              <w:rPr>
                <w:rStyle w:val="InlineCode"/>
              </w:rPr>
              <w:t xml:space="preserve">IAM-02</w:t>
            </w:r>
          </w:p>
        </w:tc>
        <w:tc>
          <w:tcPr>
            <w:tcW w:w="2712" w:type="dxa"/>
          </w:tcPr>
          <w:p>
            <w:pPr>
              <w:pStyle w:val="TableBody"/>
            </w:pPr>
            <w:r>
              <w:rPr>
                <w:b/>
              </w:rPr>
              <w:t xml:space="preserve">Partial:</w:t>
            </w:r>
            <w:r>
              <w:t xml:space="preserve"> AI RMF GOVERN accountability and MANAGE treatment outcomes [G08]</w:t>
            </w:r>
          </w:p>
        </w:tc>
        <w:tc>
          <w:tcPr>
            <w:tcW w:w="2260" w:type="dxa"/>
          </w:tcPr>
          <w:p>
            <w:pPr>
              <w:pStyle w:val="TableBody"/>
            </w:pPr>
            <w:r>
              <w:t xml:space="preserve">SP 800-53 control catalog [G11]; CSF 2.0 PROTECT [G13]</w:t>
            </w:r>
          </w:p>
        </w:tc>
        <w:tc>
          <w:tcPr>
            <w:tcW w:w="3703" w:type="dxa"/>
          </w:tcPr>
          <w:p>
            <w:pPr>
              <w:pStyle w:val="TableBody"/>
            </w:pPr>
            <w:r>
              <w:t xml:space="preserve">No claim that a particular identity product satisfies the control</w:t>
            </w:r>
          </w:p>
        </w:tc>
      </w:tr>
      <w:tr>
        <w:tc>
          <w:tcPr>
            <w:tcW w:w="1045" w:type="dxa"/>
          </w:tcPr>
          <w:p>
            <w:pPr>
              <w:pStyle w:val="TableBody"/>
            </w:pPr>
            <w:r>
              <w:rPr>
                <w:rStyle w:val="InlineCode"/>
              </w:rPr>
              <w:t xml:space="preserve">TOOL-01</w:t>
            </w:r>
            <w:r>
              <w:t xml:space="preserve">, </w:t>
            </w:r>
            <w:r>
              <w:rPr>
                <w:rStyle w:val="InlineCode"/>
              </w:rPr>
              <w:t xml:space="preserve">SEC-01</w:t>
            </w:r>
          </w:p>
        </w:tc>
        <w:tc>
          <w:tcPr>
            <w:tcW w:w="2712" w:type="dxa"/>
          </w:tcPr>
          <w:p>
            <w:pPr>
              <w:pStyle w:val="TableBody"/>
            </w:pPr>
            <w:r>
              <w:rPr>
                <w:b/>
              </w:rPr>
              <w:t xml:space="preserve">None claimed</w:t>
            </w:r>
          </w:p>
        </w:tc>
        <w:tc>
          <w:tcPr>
            <w:tcW w:w="2260" w:type="dxa"/>
          </w:tcPr>
          <w:p>
            <w:pPr>
              <w:pStyle w:val="TableBody"/>
            </w:pPr>
            <w:r>
              <w:t xml:space="preserve">AI RMF MEASURE/MANAGE [G08]; SP 800-53 [G11]; MITRE ATLAS threat knowledge [G14]</w:t>
            </w:r>
          </w:p>
        </w:tc>
        <w:tc>
          <w:tcPr>
            <w:tcW w:w="3703" w:type="dxa"/>
          </w:tcPr>
          <w:p>
            <w:pPr>
              <w:pStyle w:val="TableBody"/>
            </w:pPr>
            <w:r>
              <w:t xml:space="preserve">GOV2 owns the full threat-to-control mapping</w:t>
            </w:r>
          </w:p>
        </w:tc>
      </w:tr>
      <w:tr>
        <w:tc>
          <w:tcPr>
            <w:tcW w:w="1045" w:type="dxa"/>
          </w:tcPr>
          <w:p>
            <w:pPr>
              <w:pStyle w:val="TableBody"/>
            </w:pPr>
            <w:r>
              <w:rPr>
                <w:rStyle w:val="InlineCode"/>
              </w:rPr>
              <w:t xml:space="preserve">SUP-01</w:t>
            </w:r>
            <w:r>
              <w:t xml:space="preserve">, </w:t>
            </w:r>
            <w:r>
              <w:rPr>
                <w:rStyle w:val="InlineCode"/>
              </w:rPr>
              <w:t xml:space="preserve">CFG-01</w:t>
            </w:r>
            <w:r>
              <w:t xml:space="preserve">, </w:t>
            </w:r>
            <w:r>
              <w:rPr>
                <w:rStyle w:val="InlineCode"/>
              </w:rPr>
              <w:t xml:space="preserve">CFG-02</w:t>
            </w:r>
          </w:p>
        </w:tc>
        <w:tc>
          <w:tcPr>
            <w:tcW w:w="2712" w:type="dxa"/>
          </w:tcPr>
          <w:p>
            <w:pPr>
              <w:pStyle w:val="TableBody"/>
            </w:pPr>
            <w:r>
              <w:rPr>
                <w:b/>
              </w:rPr>
              <w:t xml:space="preserve">Partial:</w:t>
            </w:r>
            <w:r>
              <w:t xml:space="preserve"> SSDF outcome-based secure-development practices [G12]</w:t>
            </w:r>
          </w:p>
        </w:tc>
        <w:tc>
          <w:tcPr>
            <w:tcW w:w="2260" w:type="dxa"/>
          </w:tcPr>
          <w:p>
            <w:pPr>
              <w:pStyle w:val="TableBody"/>
            </w:pPr>
            <w:r>
              <w:t xml:space="preserve">AI RMF GOVERN/MANAGE [G08]; CSF 2.0 PROTECT [G13]</w:t>
            </w:r>
          </w:p>
        </w:tc>
        <w:tc>
          <w:tcPr>
            <w:tcW w:w="3703" w:type="dxa"/>
          </w:tcPr>
          <w:p>
            <w:pPr>
              <w:pStyle w:val="TableBody"/>
            </w:pPr>
            <w:r>
              <w:t xml:space="preserve">Not a complete SSDF profile or supplier assessment</w:t>
            </w:r>
          </w:p>
        </w:tc>
      </w:tr>
      <w:tr>
        <w:tc>
          <w:tcPr>
            <w:tcW w:w="1045" w:type="dxa"/>
          </w:tcPr>
          <w:p>
            <w:pPr>
              <w:pStyle w:val="TableBody"/>
            </w:pPr>
            <w:r>
              <w:rPr>
                <w:rStyle w:val="InlineCode"/>
              </w:rPr>
              <w:t xml:space="preserve">EVAL-01</w:t>
            </w:r>
          </w:p>
        </w:tc>
        <w:tc>
          <w:tcPr>
            <w:tcW w:w="2712" w:type="dxa"/>
          </w:tcPr>
          <w:p>
            <w:pPr>
              <w:pStyle w:val="TableBody"/>
            </w:pPr>
            <w:r>
              <w:rPr>
                <w:b/>
              </w:rPr>
              <w:t xml:space="preserve">Direct:</w:t>
            </w:r>
            <w:r>
              <w:t xml:space="preserve"> AI RMF MEASURE testing outcomes [G08]. </w:t>
            </w:r>
            <w:r>
              <w:rPr>
                <w:b/>
              </w:rPr>
              <w:t xml:space="preserve">Partial:</w:t>
            </w:r>
            <w:r>
              <w:t xml:space="preserve"> GenAI Profile risk actions [G10]</w:t>
            </w:r>
          </w:p>
        </w:tc>
        <w:tc>
          <w:tcPr>
            <w:tcW w:w="2260" w:type="dxa"/>
          </w:tcPr>
          <w:p>
            <w:pPr>
              <w:pStyle w:val="TableBody"/>
            </w:pPr>
            <w:r>
              <w:t xml:space="preserve">MITRE ATLAS threat knowledge [G14]</w:t>
            </w:r>
          </w:p>
        </w:tc>
        <w:tc>
          <w:tcPr>
            <w:tcW w:w="3703" w:type="dxa"/>
          </w:tcPr>
          <w:p>
            <w:pPr>
              <w:pStyle w:val="TableBody"/>
            </w:pPr>
            <w:r>
              <w:t xml:space="preserve">R5 owns evaluation methodology</w:t>
            </w:r>
          </w:p>
        </w:tc>
      </w:tr>
      <w:tr>
        <w:tc>
          <w:tcPr>
            <w:tcW w:w="1045" w:type="dxa"/>
          </w:tcPr>
          <w:p>
            <w:pPr>
              <w:pStyle w:val="TableBody"/>
            </w:pPr>
            <w:r>
              <w:rPr>
                <w:rStyle w:val="InlineCode"/>
              </w:rPr>
              <w:t xml:space="preserve">EVAL-02</w:t>
            </w:r>
          </w:p>
        </w:tc>
        <w:tc>
          <w:tcPr>
            <w:tcW w:w="2712" w:type="dxa"/>
          </w:tcPr>
          <w:p>
            <w:pPr>
              <w:pStyle w:val="TableBody"/>
            </w:pPr>
            <w:r>
              <w:rPr>
                <w:b/>
              </w:rPr>
              <w:t xml:space="preserve">Partial:</w:t>
            </w:r>
            <w:r>
              <w:t xml:space="preserve"> AI RMF MEASURE testing outcomes and GenAI Profile risk actions [G08] [G10]</w:t>
            </w:r>
          </w:p>
        </w:tc>
        <w:tc>
          <w:tcPr>
            <w:tcW w:w="2260" w:type="dxa"/>
          </w:tcPr>
          <w:p>
            <w:pPr>
              <w:pStyle w:val="TableBody"/>
            </w:pPr>
            <w:r>
              <w:t xml:space="preserve">MITRE ATLAS threat knowledge [G14]</w:t>
            </w:r>
          </w:p>
        </w:tc>
        <w:tc>
          <w:tcPr>
            <w:tcW w:w="3703" w:type="dxa"/>
          </w:tcPr>
          <w:p>
            <w:pPr>
              <w:pStyle w:val="TableBody"/>
            </w:pPr>
            <w:r>
              <w:t xml:space="preserve">GOV3 adds the detailed scenario set; GOV2 owns red-team methodology</w:t>
            </w:r>
          </w:p>
        </w:tc>
      </w:tr>
      <w:tr>
        <w:tc>
          <w:tcPr>
            <w:tcW w:w="1045" w:type="dxa"/>
          </w:tcPr>
          <w:p>
            <w:pPr>
              <w:pStyle w:val="TableBody"/>
            </w:pPr>
            <w:r>
              <w:rPr>
                <w:rStyle w:val="InlineCode"/>
              </w:rPr>
              <w:t xml:space="preserve">AUD-01</w:t>
            </w:r>
            <w:r>
              <w:t xml:space="preserve">, </w:t>
            </w:r>
            <w:r>
              <w:rPr>
                <w:rStyle w:val="InlineCode"/>
              </w:rPr>
              <w:t xml:space="preserve">AUD-02</w:t>
            </w:r>
          </w:p>
        </w:tc>
        <w:tc>
          <w:tcPr>
            <w:tcW w:w="2712" w:type="dxa"/>
          </w:tcPr>
          <w:p>
            <w:pPr>
              <w:pStyle w:val="TableBody"/>
            </w:pPr>
            <w:r>
              <w:rPr>
                <w:b/>
              </w:rPr>
              <w:t xml:space="preserve">Partial:</w:t>
            </w:r>
            <w:r>
              <w:t xml:space="preserve"> AI RMF documentation outcomes [G08]</w:t>
            </w:r>
          </w:p>
        </w:tc>
        <w:tc>
          <w:tcPr>
            <w:tcW w:w="2260" w:type="dxa"/>
          </w:tcPr>
          <w:p>
            <w:pPr>
              <w:pStyle w:val="TableBody"/>
            </w:pPr>
            <w:r>
              <w:t xml:space="preserve">SP 800-53 assurance perspective [G11]; CSF 2.0 DETECT [G13]</w:t>
            </w:r>
          </w:p>
        </w:tc>
        <w:tc>
          <w:tcPr>
            <w:tcW w:w="3703" w:type="dxa"/>
          </w:tcPr>
          <w:p>
            <w:pPr>
              <w:pStyle w:val="TableBody"/>
            </w:pPr>
            <w:r>
              <w:t xml:space="preserve">GOV3 adds event-field, correlation, client-export, access and retention outcomes; schemas and implementation remain R6/runtime work</w:t>
            </w:r>
          </w:p>
        </w:tc>
      </w:tr>
      <w:tr>
        <w:tc>
          <w:tcPr>
            <w:tcW w:w="1045" w:type="dxa"/>
          </w:tcPr>
          <w:p>
            <w:pPr>
              <w:pStyle w:val="TableBody"/>
            </w:pPr>
            <w:r>
              <w:rPr>
                <w:rStyle w:val="InlineCode"/>
              </w:rPr>
              <w:t xml:space="preserve">OPS-01</w:t>
            </w:r>
            <w:r>
              <w:t xml:space="preserve">, </w:t>
            </w:r>
            <w:r>
              <w:rPr>
                <w:rStyle w:val="InlineCode"/>
              </w:rPr>
              <w:t xml:space="preserve">OPS-02</w:t>
            </w:r>
            <w:r>
              <w:t xml:space="preserve">, </w:t>
            </w:r>
            <w:r>
              <w:rPr>
                <w:rStyle w:val="InlineCode"/>
              </w:rPr>
              <w:t xml:space="preserve">BCP-01</w:t>
            </w:r>
            <w:r>
              <w:t xml:space="preserve">, </w:t>
            </w:r>
            <w:r>
              <w:rPr>
                <w:rStyle w:val="InlineCode"/>
              </w:rPr>
              <w:t xml:space="preserve">IR-01</w:t>
            </w:r>
          </w:p>
        </w:tc>
        <w:tc>
          <w:tcPr>
            <w:tcW w:w="2712" w:type="dxa"/>
          </w:tcPr>
          <w:p>
            <w:pPr>
              <w:pStyle w:val="TableBody"/>
            </w:pPr>
            <w:r>
              <w:rPr>
                <w:b/>
              </w:rPr>
              <w:t xml:space="preserve">Partial:</w:t>
            </w:r>
            <w:r>
              <w:t xml:space="preserve"> AI RMF MEASURE/MANAGE outcomes [G08]</w:t>
            </w:r>
          </w:p>
        </w:tc>
        <w:tc>
          <w:tcPr>
            <w:tcW w:w="2260" w:type="dxa"/>
          </w:tcPr>
          <w:p>
            <w:pPr>
              <w:pStyle w:val="TableBody"/>
            </w:pPr>
            <w:r>
              <w:t xml:space="preserve">CSF 2.0 DETECT, RESPOND and RECOVER [G13]; MITRE ATLAS [G14]</w:t>
            </w:r>
          </w:p>
        </w:tc>
        <w:tc>
          <w:tcPr>
            <w:tcW w:w="3703" w:type="dxa"/>
          </w:tcPr>
          <w:p>
            <w:pPr>
              <w:pStyle w:val="TableBody"/>
            </w:pPr>
            <w:r>
              <w:t xml:space="preserve">Does not set service objectives or technical monitoring design</w:t>
            </w:r>
          </w:p>
        </w:tc>
      </w:tr>
      <w:tr>
        <w:tc>
          <w:tcPr>
            <w:tcW w:w="1045" w:type="dxa"/>
          </w:tcPr>
          <w:p>
            <w:pPr>
              <w:pStyle w:val="TableBody"/>
            </w:pPr>
            <w:r>
              <w:rPr>
                <w:rStyle w:val="InlineCode"/>
              </w:rPr>
              <w:t xml:space="preserve">EXIT-01</w:t>
            </w:r>
            <w:r>
              <w:t xml:space="preserve">, </w:t>
            </w:r>
            <w:r>
              <w:rPr>
                <w:rStyle w:val="InlineCode"/>
              </w:rPr>
              <w:t xml:space="preserve">RET-01</w:t>
            </w:r>
          </w:p>
        </w:tc>
        <w:tc>
          <w:tcPr>
            <w:tcW w:w="2712" w:type="dxa"/>
          </w:tcPr>
          <w:p>
            <w:pPr>
              <w:pStyle w:val="TableBody"/>
            </w:pPr>
            <w:r>
              <w:rPr>
                <w:b/>
              </w:rPr>
              <w:t xml:space="preserve">Partial:</w:t>
            </w:r>
            <w:r>
              <w:t xml:space="preserve"> AI RMF lifecycle-wide GOVERN/MANAGE outcomes [G08]</w:t>
            </w:r>
          </w:p>
        </w:tc>
        <w:tc>
          <w:tcPr>
            <w:tcW w:w="2260" w:type="dxa"/>
          </w:tcPr>
          <w:p>
            <w:pPr>
              <w:pStyle w:val="TableBody"/>
            </w:pPr>
            <w:r>
              <w:t xml:space="preserve">ISO/IEC 42001 management-system lifecycle [G15]; CSF 2.0 GOVERN [G13]</w:t>
            </w:r>
          </w:p>
        </w:tc>
        <w:tc>
          <w:tcPr>
            <w:tcW w:w="3703" w:type="dxa"/>
          </w:tcPr>
          <w:p>
            <w:pPr>
              <w:pStyle w:val="TableBody"/>
            </w:pPr>
            <w:r>
              <w:t xml:space="preserve">Contract, deletion and legal-hold conclusions require client evidence</w:t>
            </w:r>
          </w:p>
        </w:tc>
      </w:tr>
    </w:tbl>
    <w:p>
      <w:pPr>
        <w:pStyle w:val="Heading2"/>
      </w:pPr>
      <w:r>
        <w:t xml:space="preserve">9. FDE adoption sequence and tier baseline</w:t>
      </w:r>
    </w:p>
    <w:p>
      <w:pPr>
        <w:pStyle w:val="ListParagraph"/>
        <w:numPr>
          <w:ilvl w:val="0"/>
          <w:numId w:val="14"/>
        </w:numPr>
      </w:pPr>
      <w:r>
        <w:t xml:space="preserve">Map client titles and systems to GOV1 functional roles and the GOV3 control record.</w:t>
      </w:r>
    </w:p>
    <w:p>
      <w:pPr>
        <w:pStyle w:val="ListParagraph"/>
        <w:numPr>
          <w:ilvl w:val="0"/>
          <w:numId w:val="14"/>
        </w:numPr>
      </w:pPr>
      <w:r>
        <w:t xml:space="preserve">Select one production candidate per active tier and record applicability for every GOV3 control.</w:t>
      </w:r>
    </w:p>
    <w:p>
      <w:pPr>
        <w:pStyle w:val="ListParagraph"/>
        <w:numPr>
          <w:ilvl w:val="0"/>
          <w:numId w:val="14"/>
        </w:numPr>
      </w:pPr>
      <w:r>
        <w:t xml:space="preserve">Test the runtime-selection criteria in section 4 before a weighted comparison.</w:t>
      </w:r>
    </w:p>
    <w:p>
      <w:pPr>
        <w:pStyle w:val="ListParagraph"/>
        <w:numPr>
          <w:ilvl w:val="0"/>
          <w:numId w:val="14"/>
        </w:numPr>
      </w:pPr>
      <w:r>
        <w:t xml:space="preserve">Build the L1-L5 evidence path for each candidate; do not reconstruct it only after deployment.</w:t>
      </w:r>
    </w:p>
    <w:p>
      <w:pPr>
        <w:pStyle w:val="ListParagraph"/>
        <w:numPr>
          <w:ilvl w:val="0"/>
          <w:numId w:val="14"/>
        </w:numPr>
      </w:pPr>
      <w:r>
        <w:t xml:space="preserve">Exercise kill, containment, incident, recovery and restart before production.</w:t>
      </w:r>
    </w:p>
    <w:p>
      <w:pPr>
        <w:pStyle w:val="ListParagraph"/>
        <w:numPr>
          <w:ilvl w:val="0"/>
          <w:numId w:val="14"/>
        </w:numPr>
      </w:pPr>
      <w:r>
        <w:t xml:space="preserve">Run one L6 periodic review and one material-change route-back while the FDE is still embedded.</w:t>
      </w:r>
    </w:p>
    <w:p>
      <w:pPr>
        <w:pStyle w:val="ListParagraph"/>
        <w:numPr>
          <w:ilvl w:val="0"/>
          <w:numId w:val="14"/>
        </w:numPr>
      </w:pPr>
      <w:r>
        <w:t xml:space="preserve">Test client-controlled evidence export and retirement on a non-production instance.</w:t>
      </w:r>
    </w:p>
    <w:p>
      <w:pPr>
        <w:pStyle w:val="ListParagraph"/>
        <w:numPr>
          <w:ilvl w:val="0"/>
          <w:numId w:val="14"/>
        </w:numPr>
      </w:pPr>
      <w:r>
        <w:t xml:space="preserve">Transfer control ownership, test procedures, evidence locations and review cadence to the client.</w:t>
      </w:r>
    </w:p>
    <w:p>
      <w:pPr>
        <w:pStyle w:val="Heading3"/>
      </w:pPr>
      <w:r>
        <w:t xml:space="preserve">Minimum baseline by tier</w:t>
      </w:r>
    </w:p>
    <w:tbl>
      <w:tblPr>
        <w:tblStyle w:val="ContentTable"/>
        <w:tblW w:w="9720" w:type="dxa"/>
        <w:tblLayout w:type="fixed"/>
        <w:tblLook w:val="04A0" w:firstRow="1" w:lastRow="0" w:firstColumn="0" w:lastColumn="0" w:noHBand="0" w:noVBand="1"/>
      </w:tblPr>
      <w:tblGrid>
        <w:gridCol w:w="560"/>
        <w:gridCol w:w="9160"/>
      </w:tblGrid>
      <w:tr>
        <w:trPr>
          <w:tblHeader/>
        </w:trPr>
        <w:tc>
          <w:tcPr>
            <w:tcW w:w="560" w:type="dxa"/>
            <w:shd w:val="clear" w:color="auto" w:fill="F5F0E7"/>
          </w:tcPr>
          <w:p>
            <w:pPr>
              <w:pStyle w:val="TableHeader"/>
            </w:pPr>
            <w:r>
              <w:t xml:space="preserve">Tier</w:t>
            </w:r>
          </w:p>
        </w:tc>
        <w:tc>
          <w:tcPr>
            <w:tcW w:w="9160" w:type="dxa"/>
            <w:shd w:val="clear" w:color="auto" w:fill="F5F0E7"/>
          </w:tcPr>
          <w:p>
            <w:pPr>
              <w:pStyle w:val="TableHeader"/>
            </w:pPr>
            <w:r>
              <w:t xml:space="preserve">Minimum baseline</w:t>
            </w:r>
          </w:p>
        </w:tc>
      </w:tr>
      <w:tr>
        <w:tc>
          <w:tcPr>
            <w:tcW w:w="560" w:type="dxa"/>
          </w:tcPr>
          <w:p>
            <w:pPr>
              <w:pStyle w:val="TableBody"/>
            </w:pPr>
            <w:r>
              <w:t xml:space="preserve">Tier 1</w:t>
            </w:r>
          </w:p>
        </w:tc>
        <w:tc>
          <w:tcPr>
            <w:tcW w:w="9160" w:type="dxa"/>
          </w:tcPr>
          <w:p>
            <w:pPr>
              <w:pStyle w:val="TableBody"/>
            </w:pPr>
            <w:r>
              <w:t xml:space="preserve">All </w:t>
            </w:r>
            <w:r>
              <w:rPr>
                <w:rStyle w:val="InlineCode"/>
              </w:rPr>
              <w:t xml:space="preserve">T1+</w:t>
            </w:r>
            <w:r>
              <w:t xml:space="preserve"> controls; owner review may provide assurance where GOV1 permits, but technical boundary claims still require test or configuration evidence</w:t>
            </w:r>
          </w:p>
        </w:tc>
      </w:tr>
      <w:tr>
        <w:tc>
          <w:tcPr>
            <w:tcW w:w="560" w:type="dxa"/>
          </w:tcPr>
          <w:p>
            <w:pPr>
              <w:pStyle w:val="TableBody"/>
            </w:pPr>
            <w:r>
              <w:t xml:space="preserve">Tier 2</w:t>
            </w:r>
          </w:p>
        </w:tc>
        <w:tc>
          <w:tcPr>
            <w:tcW w:w="9160" w:type="dxa"/>
          </w:tcPr>
          <w:p>
            <w:pPr>
              <w:pStyle w:val="TableBody"/>
            </w:pPr>
            <w:r>
              <w:t xml:space="preserve">Tier 1 plus </w:t>
            </w:r>
            <w:r>
              <w:rPr>
                <w:rStyle w:val="InlineCode"/>
              </w:rPr>
              <w:t xml:space="preserve">IAM-02</w:t>
            </w:r>
            <w:r>
              <w:t xml:space="preserve">, </w:t>
            </w:r>
            <w:r>
              <w:rPr>
                <w:rStyle w:val="InlineCode"/>
              </w:rPr>
              <w:t xml:space="preserve">EVAL-02</w:t>
            </w:r>
            <w:r>
              <w:t xml:space="preserve">, </w:t>
            </w:r>
            <w:r>
              <w:rPr>
                <w:rStyle w:val="InlineCode"/>
              </w:rPr>
              <w:t xml:space="preserve">OPS-02</w:t>
            </w:r>
            <w:r>
              <w:t xml:space="preserve">, </w:t>
            </w:r>
            <w:r>
              <w:rPr>
                <w:rStyle w:val="InlineCode"/>
              </w:rPr>
              <w:t xml:space="preserve">BCP-01</w:t>
            </w:r>
            <w:r>
              <w:t xml:space="preserve">; representative evaluation, data approval, monitoring and rollback/recovery evidence</w:t>
            </w:r>
          </w:p>
        </w:tc>
      </w:tr>
      <w:tr>
        <w:tc>
          <w:tcPr>
            <w:tcW w:w="560" w:type="dxa"/>
          </w:tcPr>
          <w:p>
            <w:pPr>
              <w:pStyle w:val="TableBody"/>
            </w:pPr>
            <w:r>
              <w:t xml:space="preserve">Tier 3</w:t>
            </w:r>
          </w:p>
        </w:tc>
        <w:tc>
          <w:tcPr>
            <w:tcW w:w="9160" w:type="dxa"/>
          </w:tcPr>
          <w:p>
            <w:pPr>
              <w:pStyle w:val="TableBody"/>
            </w:pPr>
            <w:r>
              <w:t xml:space="preserve">All controls; independent assurance for action boundaries, failure/abuse testing, approval paths, kill/containment and restart</w:t>
            </w:r>
          </w:p>
        </w:tc>
      </w:tr>
      <w:tr>
        <w:tc>
          <w:tcPr>
            <w:tcW w:w="560" w:type="dxa"/>
          </w:tcPr>
          <w:p>
            <w:pPr>
              <w:pStyle w:val="TableBody"/>
            </w:pPr>
            <w:r>
              <w:t xml:space="preserve">Tier 4</w:t>
            </w:r>
          </w:p>
        </w:tc>
        <w:tc>
          <w:tcPr>
            <w:tcW w:w="9160" w:type="dxa"/>
          </w:tcPr>
          <w:p>
            <w:pPr>
              <w:pStyle w:val="TableBody"/>
            </w:pPr>
            <w:r>
              <w:t xml:space="preserve">All controls at enhanced depth; separate approver and assurance roles, regulatory-applicability record, explicit residual-risk decision and governance-authority approval under GOV1</w:t>
            </w:r>
          </w:p>
        </w:tc>
      </w:tr>
    </w:tbl>
    <w:p>
      <w:pPr>
        <w:pStyle w:val="Heading2"/>
      </w:pPr>
      <w:r>
        <w:t xml:space="preserve">10. Reusable worksheets</w:t>
      </w:r>
    </w:p>
    <w:p>
      <w:pPr>
        <w:pStyle w:val="Heading3"/>
      </w:pPr>
      <w:r>
        <w:t xml:space="preserve">Control applicability record</w:t>
      </w:r>
    </w:p>
    <w:tbl>
      <w:tblPr>
        <w:tblStyle w:val="ContentTable"/>
        <w:tblW w:w="9720" w:type="dxa"/>
        <w:tblLayout w:type="fixed"/>
        <w:tblLook w:val="04A0" w:firstRow="1" w:lastRow="0" w:firstColumn="0" w:lastColumn="0" w:noHBand="0" w:noVBand="1"/>
      </w:tblPr>
      <w:tblGrid>
        <w:gridCol w:w="8534"/>
        <w:gridCol w:w="1186"/>
      </w:tblGrid>
      <w:tr>
        <w:trPr>
          <w:tblHeader/>
        </w:trPr>
        <w:tc>
          <w:tcPr>
            <w:tcW w:w="8534" w:type="dxa"/>
            <w:shd w:val="clear" w:color="auto" w:fill="F5F0E7"/>
          </w:tcPr>
          <w:p>
            <w:pPr>
              <w:pStyle w:val="TableHeader"/>
            </w:pPr>
            <w:r>
              <w:t xml:space="preserve">Field</w:t>
            </w:r>
          </w:p>
        </w:tc>
        <w:tc>
          <w:tcPr>
            <w:tcW w:w="1186" w:type="dxa"/>
            <w:shd w:val="clear" w:color="auto" w:fill="F5F0E7"/>
          </w:tcPr>
          <w:p>
            <w:pPr>
              <w:pStyle w:val="TableHeader"/>
            </w:pPr>
            <w:r>
              <w:t xml:space="preserve">Entry</w:t>
            </w:r>
          </w:p>
        </w:tc>
      </w:tr>
      <w:tr>
        <w:tc>
          <w:tcPr>
            <w:tcW w:w="8534" w:type="dxa"/>
          </w:tcPr>
          <w:p>
            <w:pPr>
              <w:pStyle w:val="TableBody"/>
            </w:pPr>
            <w:r>
              <w:t xml:space="preserve">Agent ID</w:t>
            </w:r>
          </w:p>
        </w:tc>
        <w:tc>
          <w:tcPr>
            <w:tcW w:w="1186" w:type="dxa"/>
          </w:tcPr>
          <w:p>
            <w:pPr>
              <w:pStyle w:val="TableBody"/>
            </w:pPr>
          </w:p>
        </w:tc>
      </w:tr>
      <w:tr>
        <w:tc>
          <w:tcPr>
            <w:tcW w:w="8534" w:type="dxa"/>
          </w:tcPr>
          <w:p>
            <w:pPr>
              <w:pStyle w:val="TableBody"/>
            </w:pPr>
            <w:r>
              <w:t xml:space="preserve">Version and environment</w:t>
            </w:r>
          </w:p>
        </w:tc>
        <w:tc>
          <w:tcPr>
            <w:tcW w:w="1186" w:type="dxa"/>
          </w:tcPr>
          <w:p>
            <w:pPr>
              <w:pStyle w:val="TableBody"/>
            </w:pPr>
          </w:p>
        </w:tc>
      </w:tr>
      <w:tr>
        <w:tc>
          <w:tcPr>
            <w:tcW w:w="8534" w:type="dxa"/>
          </w:tcPr>
          <w:p>
            <w:pPr>
              <w:pStyle w:val="TableBody"/>
            </w:pPr>
            <w:r>
              <w:t xml:space="preserve">Tier</w:t>
            </w:r>
          </w:p>
        </w:tc>
        <w:tc>
          <w:tcPr>
            <w:tcW w:w="1186" w:type="dxa"/>
          </w:tcPr>
          <w:p>
            <w:pPr>
              <w:pStyle w:val="TableBody"/>
            </w:pPr>
          </w:p>
        </w:tc>
      </w:tr>
      <w:tr>
        <w:tc>
          <w:tcPr>
            <w:tcW w:w="8534" w:type="dxa"/>
          </w:tcPr>
          <w:p>
            <w:pPr>
              <w:pStyle w:val="TableBody"/>
            </w:pPr>
            <w:r>
              <w:t xml:space="preserve">Control ID</w:t>
            </w:r>
          </w:p>
        </w:tc>
        <w:tc>
          <w:tcPr>
            <w:tcW w:w="1186" w:type="dxa"/>
          </w:tcPr>
          <w:p>
            <w:pPr>
              <w:pStyle w:val="TableBody"/>
            </w:pPr>
          </w:p>
        </w:tc>
      </w:tr>
      <w:tr>
        <w:tc>
          <w:tcPr>
            <w:tcW w:w="8534" w:type="dxa"/>
          </w:tcPr>
          <w:p>
            <w:pPr>
              <w:pStyle w:val="TableBody"/>
            </w:pPr>
            <w:r>
              <w:t xml:space="preserve">Result (</w:t>
            </w:r>
            <w:r>
              <w:rPr>
                <w:rStyle w:val="InlineCode"/>
              </w:rPr>
              <w:t xml:space="preserve">required</w:t>
            </w:r>
            <w:r>
              <w:t xml:space="preserve">/</w:t>
            </w:r>
            <w:r>
              <w:rPr>
                <w:rStyle w:val="InlineCode"/>
              </w:rPr>
              <w:t xml:space="preserve">not applicable</w:t>
            </w:r>
            <w:r>
              <w:t xml:space="preserve">)</w:t>
            </w:r>
          </w:p>
        </w:tc>
        <w:tc>
          <w:tcPr>
            <w:tcW w:w="1186" w:type="dxa"/>
          </w:tcPr>
          <w:p>
            <w:pPr>
              <w:pStyle w:val="TableBody"/>
            </w:pPr>
          </w:p>
        </w:tc>
      </w:tr>
      <w:tr>
        <w:tc>
          <w:tcPr>
            <w:tcW w:w="8534" w:type="dxa"/>
          </w:tcPr>
          <w:p>
            <w:pPr>
              <w:pStyle w:val="TableBody"/>
            </w:pPr>
            <w:r>
              <w:t xml:space="preserve">Rationale and trigger</w:t>
            </w:r>
          </w:p>
        </w:tc>
        <w:tc>
          <w:tcPr>
            <w:tcW w:w="1186" w:type="dxa"/>
          </w:tcPr>
          <w:p>
            <w:pPr>
              <w:pStyle w:val="TableBody"/>
            </w:pPr>
          </w:p>
        </w:tc>
      </w:tr>
      <w:tr>
        <w:tc>
          <w:tcPr>
            <w:tcW w:w="8534" w:type="dxa"/>
          </w:tcPr>
          <w:p>
            <w:pPr>
              <w:pStyle w:val="TableBody"/>
            </w:pPr>
            <w:r>
              <w:t xml:space="preserve">Approver</w:t>
            </w:r>
          </w:p>
        </w:tc>
        <w:tc>
          <w:tcPr>
            <w:tcW w:w="1186" w:type="dxa"/>
          </w:tcPr>
          <w:p>
            <w:pPr>
              <w:pStyle w:val="TableBody"/>
            </w:pPr>
          </w:p>
        </w:tc>
      </w:tr>
      <w:tr>
        <w:tc>
          <w:tcPr>
            <w:tcW w:w="8534" w:type="dxa"/>
          </w:tcPr>
          <w:p>
            <w:pPr>
              <w:pStyle w:val="TableBody"/>
            </w:pPr>
            <w:r>
              <w:t xml:space="preserve">Review date</w:t>
            </w:r>
          </w:p>
        </w:tc>
        <w:tc>
          <w:tcPr>
            <w:tcW w:w="1186" w:type="dxa"/>
          </w:tcPr>
          <w:p>
            <w:pPr>
              <w:pStyle w:val="TableBody"/>
            </w:pPr>
          </w:p>
        </w:tc>
      </w:tr>
    </w:tbl>
    <w:p>
      <w:pPr>
        <w:pStyle w:val="Heading3"/>
      </w:pPr>
      <w:r>
        <w:t xml:space="preserve">Lifecycle gate decision record</w:t>
      </w:r>
    </w:p>
    <w:tbl>
      <w:tblPr>
        <w:tblStyle w:val="ContentTable"/>
        <w:tblW w:w="9720" w:type="dxa"/>
        <w:tblLayout w:type="fixed"/>
        <w:tblLook w:val="04A0" w:firstRow="1" w:lastRow="0" w:firstColumn="0" w:lastColumn="0" w:noHBand="0" w:noVBand="1"/>
      </w:tblPr>
      <w:tblGrid>
        <w:gridCol w:w="8803"/>
        <w:gridCol w:w="917"/>
      </w:tblGrid>
      <w:tr>
        <w:trPr>
          <w:tblHeader/>
        </w:trPr>
        <w:tc>
          <w:tcPr>
            <w:tcW w:w="8803" w:type="dxa"/>
            <w:shd w:val="clear" w:color="auto" w:fill="F5F0E7"/>
          </w:tcPr>
          <w:p>
            <w:pPr>
              <w:pStyle w:val="TableHeader"/>
            </w:pPr>
            <w:r>
              <w:t xml:space="preserve">Field</w:t>
            </w:r>
          </w:p>
        </w:tc>
        <w:tc>
          <w:tcPr>
            <w:tcW w:w="917" w:type="dxa"/>
            <w:shd w:val="clear" w:color="auto" w:fill="F5F0E7"/>
          </w:tcPr>
          <w:p>
            <w:pPr>
              <w:pStyle w:val="TableHeader"/>
            </w:pPr>
            <w:r>
              <w:t xml:space="preserve">Entry</w:t>
            </w:r>
          </w:p>
        </w:tc>
      </w:tr>
      <w:tr>
        <w:tc>
          <w:tcPr>
            <w:tcW w:w="8803" w:type="dxa"/>
          </w:tcPr>
          <w:p>
            <w:pPr>
              <w:pStyle w:val="TableBody"/>
            </w:pPr>
            <w:r>
              <w:t xml:space="preserve">Agent ID, version and environment</w:t>
            </w:r>
          </w:p>
        </w:tc>
        <w:tc>
          <w:tcPr>
            <w:tcW w:w="917" w:type="dxa"/>
          </w:tcPr>
          <w:p>
            <w:pPr>
              <w:pStyle w:val="TableBody"/>
            </w:pPr>
          </w:p>
        </w:tc>
      </w:tr>
      <w:tr>
        <w:tc>
          <w:tcPr>
            <w:tcW w:w="8803" w:type="dxa"/>
          </w:tcPr>
          <w:p>
            <w:pPr>
              <w:pStyle w:val="TableBody"/>
            </w:pPr>
            <w:r>
              <w:t xml:space="preserve">Tier and applicability record</w:t>
            </w:r>
          </w:p>
        </w:tc>
        <w:tc>
          <w:tcPr>
            <w:tcW w:w="917" w:type="dxa"/>
          </w:tcPr>
          <w:p>
            <w:pPr>
              <w:pStyle w:val="TableBody"/>
            </w:pPr>
          </w:p>
        </w:tc>
      </w:tr>
      <w:tr>
        <w:tc>
          <w:tcPr>
            <w:tcW w:w="8803" w:type="dxa"/>
          </w:tcPr>
          <w:p>
            <w:pPr>
              <w:pStyle w:val="TableBody"/>
            </w:pPr>
            <w:r>
              <w:t xml:space="preserve">Lifecycle gate</w:t>
            </w:r>
          </w:p>
        </w:tc>
        <w:tc>
          <w:tcPr>
            <w:tcW w:w="917" w:type="dxa"/>
          </w:tcPr>
          <w:p>
            <w:pPr>
              <w:pStyle w:val="TableBody"/>
            </w:pPr>
          </w:p>
        </w:tc>
      </w:tr>
      <w:tr>
        <w:tc>
          <w:tcPr>
            <w:tcW w:w="8803" w:type="dxa"/>
          </w:tcPr>
          <w:p>
            <w:pPr>
              <w:pStyle w:val="TableBody"/>
            </w:pPr>
            <w:r>
              <w:t xml:space="preserve">Required controls</w:t>
            </w:r>
          </w:p>
        </w:tc>
        <w:tc>
          <w:tcPr>
            <w:tcW w:w="917" w:type="dxa"/>
          </w:tcPr>
          <w:p>
            <w:pPr>
              <w:pStyle w:val="TableBody"/>
            </w:pPr>
          </w:p>
        </w:tc>
      </w:tr>
      <w:tr>
        <w:tc>
          <w:tcPr>
            <w:tcW w:w="8803" w:type="dxa"/>
          </w:tcPr>
          <w:p>
            <w:pPr>
              <w:pStyle w:val="TableBody"/>
            </w:pPr>
            <w:r>
              <w:t xml:space="preserve">Failed or unknown controls</w:t>
            </w:r>
          </w:p>
        </w:tc>
        <w:tc>
          <w:tcPr>
            <w:tcW w:w="917" w:type="dxa"/>
          </w:tcPr>
          <w:p>
            <w:pPr>
              <w:pStyle w:val="TableBody"/>
            </w:pPr>
          </w:p>
        </w:tc>
      </w:tr>
      <w:tr>
        <w:tc>
          <w:tcPr>
            <w:tcW w:w="8803" w:type="dxa"/>
          </w:tcPr>
          <w:p>
            <w:pPr>
              <w:pStyle w:val="TableBody"/>
            </w:pPr>
            <w:r>
              <w:t xml:space="preserve">Evidence artifact links and versions</w:t>
            </w:r>
          </w:p>
        </w:tc>
        <w:tc>
          <w:tcPr>
            <w:tcW w:w="917" w:type="dxa"/>
          </w:tcPr>
          <w:p>
            <w:pPr>
              <w:pStyle w:val="TableBody"/>
            </w:pPr>
          </w:p>
        </w:tc>
      </w:tr>
      <w:tr>
        <w:tc>
          <w:tcPr>
            <w:tcW w:w="8803" w:type="dxa"/>
          </w:tcPr>
          <w:p>
            <w:pPr>
              <w:pStyle w:val="TableBody"/>
            </w:pPr>
            <w:r>
              <w:t xml:space="preserve">Exceptions and expiry</w:t>
            </w:r>
          </w:p>
        </w:tc>
        <w:tc>
          <w:tcPr>
            <w:tcW w:w="917" w:type="dxa"/>
          </w:tcPr>
          <w:p>
            <w:pPr>
              <w:pStyle w:val="TableBody"/>
            </w:pPr>
          </w:p>
        </w:tc>
      </w:tr>
      <w:tr>
        <w:tc>
          <w:tcPr>
            <w:tcW w:w="8803" w:type="dxa"/>
          </w:tcPr>
          <w:p>
            <w:pPr>
              <w:pStyle w:val="TableBody"/>
            </w:pPr>
            <w:r>
              <w:t xml:space="preserve">Decision (</w:t>
            </w:r>
            <w:r>
              <w:rPr>
                <w:rStyle w:val="InlineCode"/>
              </w:rPr>
              <w:t xml:space="preserve">PASS</w:t>
            </w:r>
            <w:r>
              <w:t xml:space="preserve">/</w:t>
            </w:r>
            <w:r>
              <w:rPr>
                <w:rStyle w:val="InlineCode"/>
              </w:rPr>
              <w:t xml:space="preserve">FAIL</w:t>
            </w:r>
            <w:r>
              <w:t xml:space="preserve">)</w:t>
            </w:r>
          </w:p>
        </w:tc>
        <w:tc>
          <w:tcPr>
            <w:tcW w:w="917" w:type="dxa"/>
          </w:tcPr>
          <w:p>
            <w:pPr>
              <w:pStyle w:val="TableBody"/>
            </w:pPr>
          </w:p>
        </w:tc>
      </w:tr>
      <w:tr>
        <w:tc>
          <w:tcPr>
            <w:tcW w:w="8803" w:type="dxa"/>
          </w:tcPr>
          <w:p>
            <w:pPr>
              <w:pStyle w:val="TableBody"/>
            </w:pPr>
            <w:r>
              <w:t xml:space="preserve">Approver functions and named people</w:t>
            </w:r>
          </w:p>
        </w:tc>
        <w:tc>
          <w:tcPr>
            <w:tcW w:w="917" w:type="dxa"/>
          </w:tcPr>
          <w:p>
            <w:pPr>
              <w:pStyle w:val="TableBody"/>
            </w:pPr>
          </w:p>
        </w:tc>
      </w:tr>
      <w:tr>
        <w:tc>
          <w:tcPr>
            <w:tcW w:w="8803" w:type="dxa"/>
          </w:tcPr>
          <w:p>
            <w:pPr>
              <w:pStyle w:val="TableBody"/>
            </w:pPr>
            <w:r>
              <w:t xml:space="preserve">Route-back lifecycle gate or next lifecycle gate</w:t>
            </w:r>
          </w:p>
        </w:tc>
        <w:tc>
          <w:tcPr>
            <w:tcW w:w="917" w:type="dxa"/>
          </w:tcPr>
          <w:p>
            <w:pPr>
              <w:pStyle w:val="TableBody"/>
            </w:pPr>
          </w:p>
        </w:tc>
      </w:tr>
      <w:tr>
        <w:tc>
          <w:tcPr>
            <w:tcW w:w="8803" w:type="dxa"/>
          </w:tcPr>
          <w:p>
            <w:pPr>
              <w:pStyle w:val="TableBody"/>
            </w:pPr>
            <w:r>
              <w:t xml:space="preserve">Next review date</w:t>
            </w:r>
          </w:p>
        </w:tc>
        <w:tc>
          <w:tcPr>
            <w:tcW w:w="917" w:type="dxa"/>
          </w:tcPr>
          <w:p>
            <w:pPr>
              <w:pStyle w:val="TableBody"/>
            </w:pPr>
          </w:p>
        </w:tc>
      </w:tr>
    </w:tbl>
    <w:p>
      <w:pPr>
        <w:pStyle w:val="Heading3"/>
      </w:pPr>
      <w:r>
        <w:t xml:space="preserve">Evidence record</w:t>
      </w:r>
    </w:p>
    <w:tbl>
      <w:tblPr>
        <w:tblStyle w:val="ContentTable"/>
        <w:tblW w:w="9720" w:type="dxa"/>
        <w:tblLayout w:type="fixed"/>
        <w:tblLook w:val="04A0" w:firstRow="1" w:lastRow="0" w:firstColumn="0" w:lastColumn="0" w:noHBand="0" w:noVBand="1"/>
      </w:tblPr>
      <w:tblGrid>
        <w:gridCol w:w="8152"/>
        <w:gridCol w:w="1568"/>
      </w:tblGrid>
      <w:tr>
        <w:trPr>
          <w:tblHeader/>
        </w:trPr>
        <w:tc>
          <w:tcPr>
            <w:tcW w:w="8152" w:type="dxa"/>
            <w:shd w:val="clear" w:color="auto" w:fill="F5F0E7"/>
          </w:tcPr>
          <w:p>
            <w:pPr>
              <w:pStyle w:val="TableHeader"/>
            </w:pPr>
            <w:r>
              <w:t xml:space="preserve">Field</w:t>
            </w:r>
          </w:p>
        </w:tc>
        <w:tc>
          <w:tcPr>
            <w:tcW w:w="1568" w:type="dxa"/>
            <w:shd w:val="clear" w:color="auto" w:fill="F5F0E7"/>
          </w:tcPr>
          <w:p>
            <w:pPr>
              <w:pStyle w:val="TableHeader"/>
            </w:pPr>
            <w:r>
              <w:t xml:space="preserve">Entry</w:t>
            </w:r>
          </w:p>
        </w:tc>
      </w:tr>
      <w:tr>
        <w:tc>
          <w:tcPr>
            <w:tcW w:w="8152" w:type="dxa"/>
          </w:tcPr>
          <w:p>
            <w:pPr>
              <w:pStyle w:val="TableBody"/>
            </w:pPr>
            <w:r>
              <w:t xml:space="preserve">Control ID</w:t>
            </w:r>
          </w:p>
        </w:tc>
        <w:tc>
          <w:tcPr>
            <w:tcW w:w="1568" w:type="dxa"/>
          </w:tcPr>
          <w:p>
            <w:pPr>
              <w:pStyle w:val="TableBody"/>
            </w:pPr>
          </w:p>
        </w:tc>
      </w:tr>
      <w:tr>
        <w:tc>
          <w:tcPr>
            <w:tcW w:w="8152" w:type="dxa"/>
          </w:tcPr>
          <w:p>
            <w:pPr>
              <w:pStyle w:val="TableBody"/>
            </w:pPr>
            <w:r>
              <w:t xml:space="preserve">Test method</w:t>
            </w:r>
          </w:p>
        </w:tc>
        <w:tc>
          <w:tcPr>
            <w:tcW w:w="1568" w:type="dxa"/>
          </w:tcPr>
          <w:p>
            <w:pPr>
              <w:pStyle w:val="TableBody"/>
            </w:pPr>
          </w:p>
        </w:tc>
      </w:tr>
      <w:tr>
        <w:tc>
          <w:tcPr>
            <w:tcW w:w="8152" w:type="dxa"/>
          </w:tcPr>
          <w:p>
            <w:pPr>
              <w:pStyle w:val="TableBody"/>
            </w:pPr>
            <w:r>
              <w:t xml:space="preserve">Population or sample</w:t>
            </w:r>
          </w:p>
        </w:tc>
        <w:tc>
          <w:tcPr>
            <w:tcW w:w="1568" w:type="dxa"/>
          </w:tcPr>
          <w:p>
            <w:pPr>
              <w:pStyle w:val="TableBody"/>
            </w:pPr>
          </w:p>
        </w:tc>
      </w:tr>
      <w:tr>
        <w:tc>
          <w:tcPr>
            <w:tcW w:w="8152" w:type="dxa"/>
          </w:tcPr>
          <w:p>
            <w:pPr>
              <w:pStyle w:val="TableBody"/>
            </w:pPr>
            <w:r>
              <w:t xml:space="preserve">Expected result</w:t>
            </w:r>
          </w:p>
        </w:tc>
        <w:tc>
          <w:tcPr>
            <w:tcW w:w="1568" w:type="dxa"/>
          </w:tcPr>
          <w:p>
            <w:pPr>
              <w:pStyle w:val="TableBody"/>
            </w:pPr>
          </w:p>
        </w:tc>
      </w:tr>
      <w:tr>
        <w:tc>
          <w:tcPr>
            <w:tcW w:w="8152" w:type="dxa"/>
          </w:tcPr>
          <w:p>
            <w:pPr>
              <w:pStyle w:val="TableBody"/>
            </w:pPr>
            <w:r>
              <w:t xml:space="preserve">Actual result</w:t>
            </w:r>
          </w:p>
        </w:tc>
        <w:tc>
          <w:tcPr>
            <w:tcW w:w="1568" w:type="dxa"/>
          </w:tcPr>
          <w:p>
            <w:pPr>
              <w:pStyle w:val="TableBody"/>
            </w:pPr>
          </w:p>
        </w:tc>
      </w:tr>
      <w:tr>
        <w:tc>
          <w:tcPr>
            <w:tcW w:w="8152" w:type="dxa"/>
          </w:tcPr>
          <w:p>
            <w:pPr>
              <w:pStyle w:val="TableBody"/>
            </w:pPr>
            <w:r>
              <w:t xml:space="preserve">Version and environment</w:t>
            </w:r>
          </w:p>
        </w:tc>
        <w:tc>
          <w:tcPr>
            <w:tcW w:w="1568" w:type="dxa"/>
          </w:tcPr>
          <w:p>
            <w:pPr>
              <w:pStyle w:val="TableBody"/>
            </w:pPr>
          </w:p>
        </w:tc>
      </w:tr>
      <w:tr>
        <w:tc>
          <w:tcPr>
            <w:tcW w:w="8152" w:type="dxa"/>
          </w:tcPr>
          <w:p>
            <w:pPr>
              <w:pStyle w:val="TableBody"/>
            </w:pPr>
            <w:r>
              <w:t xml:space="preserve">Collected by and date/time</w:t>
            </w:r>
          </w:p>
        </w:tc>
        <w:tc>
          <w:tcPr>
            <w:tcW w:w="1568" w:type="dxa"/>
          </w:tcPr>
          <w:p>
            <w:pPr>
              <w:pStyle w:val="TableBody"/>
            </w:pPr>
          </w:p>
        </w:tc>
      </w:tr>
      <w:tr>
        <w:tc>
          <w:tcPr>
            <w:tcW w:w="8152" w:type="dxa"/>
          </w:tcPr>
          <w:p>
            <w:pPr>
              <w:pStyle w:val="TableBody"/>
            </w:pPr>
            <w:r>
              <w:t xml:space="preserve">Location and retention</w:t>
            </w:r>
          </w:p>
        </w:tc>
        <w:tc>
          <w:tcPr>
            <w:tcW w:w="1568" w:type="dxa"/>
          </w:tcPr>
          <w:p>
            <w:pPr>
              <w:pStyle w:val="TableBody"/>
            </w:pPr>
          </w:p>
        </w:tc>
      </w:tr>
      <w:tr>
        <w:tc>
          <w:tcPr>
            <w:tcW w:w="8152" w:type="dxa"/>
          </w:tcPr>
          <w:p>
            <w:pPr>
              <w:pStyle w:val="TableBody"/>
            </w:pPr>
            <w:r>
              <w:t xml:space="preserve">Reviewer</w:t>
            </w:r>
          </w:p>
        </w:tc>
        <w:tc>
          <w:tcPr>
            <w:tcW w:w="1568" w:type="dxa"/>
          </w:tcPr>
          <w:p>
            <w:pPr>
              <w:pStyle w:val="TableBody"/>
            </w:pPr>
          </w:p>
        </w:tc>
      </w:tr>
    </w:tbl>
    <w:p>
      <w:pPr>
        <w:pStyle w:val="Heading3"/>
      </w:pPr>
      <w:r>
        <w:t xml:space="preserve">Exception and compensating-control record</w:t>
      </w:r>
    </w:p>
    <w:tbl>
      <w:tblPr>
        <w:tblStyle w:val="ContentTable"/>
        <w:tblW w:w="9720" w:type="dxa"/>
        <w:tblLayout w:type="fixed"/>
        <w:tblLook w:val="04A0" w:firstRow="1" w:lastRow="0" w:firstColumn="0" w:lastColumn="0" w:noHBand="0" w:noVBand="1"/>
      </w:tblPr>
      <w:tblGrid>
        <w:gridCol w:w="8663"/>
        <w:gridCol w:w="1057"/>
      </w:tblGrid>
      <w:tr>
        <w:trPr>
          <w:tblHeader/>
        </w:trPr>
        <w:tc>
          <w:tcPr>
            <w:tcW w:w="8663" w:type="dxa"/>
            <w:shd w:val="clear" w:color="auto" w:fill="F5F0E7"/>
          </w:tcPr>
          <w:p>
            <w:pPr>
              <w:pStyle w:val="TableHeader"/>
            </w:pPr>
            <w:r>
              <w:t xml:space="preserve">Field</w:t>
            </w:r>
          </w:p>
        </w:tc>
        <w:tc>
          <w:tcPr>
            <w:tcW w:w="1057" w:type="dxa"/>
            <w:shd w:val="clear" w:color="auto" w:fill="F5F0E7"/>
          </w:tcPr>
          <w:p>
            <w:pPr>
              <w:pStyle w:val="TableHeader"/>
            </w:pPr>
            <w:r>
              <w:t xml:space="preserve">Entry</w:t>
            </w:r>
          </w:p>
        </w:tc>
      </w:tr>
      <w:tr>
        <w:tc>
          <w:tcPr>
            <w:tcW w:w="8663" w:type="dxa"/>
          </w:tcPr>
          <w:p>
            <w:pPr>
              <w:pStyle w:val="TableBody"/>
            </w:pPr>
            <w:r>
              <w:t xml:space="preserve">Agent ID, tier and control ID</w:t>
            </w:r>
          </w:p>
        </w:tc>
        <w:tc>
          <w:tcPr>
            <w:tcW w:w="1057" w:type="dxa"/>
          </w:tcPr>
          <w:p>
            <w:pPr>
              <w:pStyle w:val="TableBody"/>
            </w:pPr>
          </w:p>
        </w:tc>
      </w:tr>
      <w:tr>
        <w:tc>
          <w:tcPr>
            <w:tcW w:w="8663" w:type="dxa"/>
          </w:tcPr>
          <w:p>
            <w:pPr>
              <w:pStyle w:val="TableBody"/>
            </w:pPr>
            <w:r>
              <w:t xml:space="preserve">Unmet requirement and evidence</w:t>
            </w:r>
          </w:p>
        </w:tc>
        <w:tc>
          <w:tcPr>
            <w:tcW w:w="1057" w:type="dxa"/>
          </w:tcPr>
          <w:p>
            <w:pPr>
              <w:pStyle w:val="TableBody"/>
            </w:pPr>
          </w:p>
        </w:tc>
      </w:tr>
      <w:tr>
        <w:tc>
          <w:tcPr>
            <w:tcW w:w="8663" w:type="dxa"/>
          </w:tcPr>
          <w:p>
            <w:pPr>
              <w:pStyle w:val="TableBody"/>
            </w:pPr>
            <w:r>
              <w:t xml:space="preserve">Risk statement and affected boundary</w:t>
            </w:r>
          </w:p>
        </w:tc>
        <w:tc>
          <w:tcPr>
            <w:tcW w:w="1057" w:type="dxa"/>
          </w:tcPr>
          <w:p>
            <w:pPr>
              <w:pStyle w:val="TableBody"/>
            </w:pPr>
          </w:p>
        </w:tc>
      </w:tr>
      <w:tr>
        <w:tc>
          <w:tcPr>
            <w:tcW w:w="8663" w:type="dxa"/>
          </w:tcPr>
          <w:p>
            <w:pPr>
              <w:pStyle w:val="TableBody"/>
            </w:pPr>
            <w:r>
              <w:t xml:space="preserve">Compensating outcome and test</w:t>
            </w:r>
          </w:p>
        </w:tc>
        <w:tc>
          <w:tcPr>
            <w:tcW w:w="1057" w:type="dxa"/>
          </w:tcPr>
          <w:p>
            <w:pPr>
              <w:pStyle w:val="TableBody"/>
            </w:pPr>
          </w:p>
        </w:tc>
      </w:tr>
      <w:tr>
        <w:tc>
          <w:tcPr>
            <w:tcW w:w="8663" w:type="dxa"/>
          </w:tcPr>
          <w:p>
            <w:pPr>
              <w:pStyle w:val="TableBody"/>
            </w:pPr>
            <w:r>
              <w:t xml:space="preserve">Accountable owner and approving authority</w:t>
            </w:r>
          </w:p>
        </w:tc>
        <w:tc>
          <w:tcPr>
            <w:tcW w:w="1057" w:type="dxa"/>
          </w:tcPr>
          <w:p>
            <w:pPr>
              <w:pStyle w:val="TableBody"/>
            </w:pPr>
          </w:p>
        </w:tc>
      </w:tr>
      <w:tr>
        <w:tc>
          <w:tcPr>
            <w:tcW w:w="8663" w:type="dxa"/>
          </w:tcPr>
          <w:p>
            <w:pPr>
              <w:pStyle w:val="TableBody"/>
            </w:pPr>
            <w:r>
              <w:t xml:space="preserve">Monitoring and suspension trigger</w:t>
            </w:r>
          </w:p>
        </w:tc>
        <w:tc>
          <w:tcPr>
            <w:tcW w:w="1057" w:type="dxa"/>
          </w:tcPr>
          <w:p>
            <w:pPr>
              <w:pStyle w:val="TableBody"/>
            </w:pPr>
          </w:p>
        </w:tc>
      </w:tr>
      <w:tr>
        <w:tc>
          <w:tcPr>
            <w:tcW w:w="8663" w:type="dxa"/>
          </w:tcPr>
          <w:p>
            <w:pPr>
              <w:pStyle w:val="TableBody"/>
            </w:pPr>
            <w:r>
              <w:t xml:space="preserve">Start, expiry and closure test</w:t>
            </w:r>
          </w:p>
        </w:tc>
        <w:tc>
          <w:tcPr>
            <w:tcW w:w="1057" w:type="dxa"/>
          </w:tcPr>
          <w:p>
            <w:pPr>
              <w:pStyle w:val="TableBody"/>
            </w:pPr>
          </w:p>
        </w:tc>
      </w:tr>
      <w:tr>
        <w:tc>
          <w:tcPr>
            <w:tcW w:w="8663" w:type="dxa"/>
          </w:tcPr>
          <w:p>
            <w:pPr>
              <w:pStyle w:val="TableBody"/>
            </w:pPr>
            <w:r>
              <w:t xml:space="preserve">Regulatory-applicability check</w:t>
            </w:r>
          </w:p>
        </w:tc>
        <w:tc>
          <w:tcPr>
            <w:tcW w:w="1057" w:type="dxa"/>
          </w:tcPr>
          <w:p>
            <w:pPr>
              <w:pStyle w:val="TableBody"/>
            </w:pPr>
          </w:p>
        </w:tc>
      </w:tr>
    </w:tbl>
    <w:p>
      <w:pPr>
        <w:pStyle w:val="Heading3"/>
      </w:pPr>
      <w:r>
        <w:t xml:space="preserve">Selection governance-criteria handoff</w:t>
      </w:r>
    </w:p>
    <w:p>
      <w:pPr>
        <w:pStyle w:val="BodyText"/>
      </w:pPr>
      <w:r>
        <w:t xml:space="preserve">Any downstream selection process uses the nine criteria from section 4 by citation. It does not recreate or silently edit them.</w:t>
      </w:r>
    </w:p>
    <w:tbl>
      <w:tblPr>
        <w:tblStyle w:val="ContentTable"/>
        <w:tblW w:w="9720" w:type="dxa"/>
        <w:tblLayout w:type="fixed"/>
        <w:tblLook w:val="04A0" w:firstRow="1" w:lastRow="0" w:firstColumn="0" w:lastColumn="0" w:noHBand="0" w:noVBand="1"/>
      </w:tblPr>
      <w:tblGrid>
        <w:gridCol w:w="2225"/>
        <w:gridCol w:w="1639"/>
        <w:gridCol w:w="1346"/>
        <w:gridCol w:w="1171"/>
        <w:gridCol w:w="1346"/>
        <w:gridCol w:w="560"/>
        <w:gridCol w:w="1433"/>
      </w:tblGrid>
      <w:tr>
        <w:trPr>
          <w:tblHeader/>
        </w:trPr>
        <w:tc>
          <w:tcPr>
            <w:tcW w:w="2225" w:type="dxa"/>
            <w:shd w:val="clear" w:color="auto" w:fill="F5F0E7"/>
          </w:tcPr>
          <w:p>
            <w:pPr>
              <w:pStyle w:val="TableHeaderCompact"/>
            </w:pPr>
            <w:r>
              <w:t xml:space="preserve">Criterion</w:t>
            </w:r>
          </w:p>
        </w:tc>
        <w:tc>
          <w:tcPr>
            <w:tcW w:w="1639" w:type="dxa"/>
            <w:shd w:val="clear" w:color="auto" w:fill="F5F0E7"/>
          </w:tcPr>
          <w:p>
            <w:pPr>
              <w:pStyle w:val="TableHeaderCompact"/>
            </w:pPr>
            <w:r>
              <w:t xml:space="preserve">Mandatory for this use case?</w:t>
            </w:r>
          </w:p>
        </w:tc>
        <w:tc>
          <w:tcPr>
            <w:tcW w:w="1346" w:type="dxa"/>
            <w:shd w:val="clear" w:color="auto" w:fill="F5F0E7"/>
          </w:tcPr>
          <w:p>
            <w:pPr>
              <w:pStyle w:val="TableHeaderCompact"/>
            </w:pPr>
            <w:r>
              <w:t xml:space="preserve">Required evidence depth</w:t>
            </w:r>
          </w:p>
        </w:tc>
        <w:tc>
          <w:tcPr>
            <w:tcW w:w="1171" w:type="dxa"/>
            <w:shd w:val="clear" w:color="auto" w:fill="F5F0E7"/>
          </w:tcPr>
          <w:p>
            <w:pPr>
              <w:pStyle w:val="TableHeaderCompact"/>
            </w:pPr>
            <w:r>
              <w:t xml:space="preserve">Documentary evidence</w:t>
            </w:r>
          </w:p>
        </w:tc>
        <w:tc>
          <w:tcPr>
            <w:tcW w:w="1346" w:type="dxa"/>
            <w:shd w:val="clear" w:color="auto" w:fill="F5F0E7"/>
          </w:tcPr>
          <w:p>
            <w:pPr>
              <w:pStyle w:val="TableHeaderCompact"/>
            </w:pPr>
            <w:r>
              <w:t xml:space="preserve">Target-environment test</w:t>
            </w:r>
          </w:p>
        </w:tc>
        <w:tc>
          <w:tcPr>
            <w:tcW w:w="560" w:type="dxa"/>
            <w:shd w:val="clear" w:color="auto" w:fill="F5F0E7"/>
          </w:tcPr>
          <w:p>
            <w:pPr>
              <w:pStyle w:val="TableHeaderCompact"/>
            </w:pPr>
            <w:r>
              <w:t xml:space="preserve">Result</w:t>
            </w:r>
          </w:p>
        </w:tc>
        <w:tc>
          <w:tcPr>
            <w:tcW w:w="1433" w:type="dxa"/>
            <w:shd w:val="clear" w:color="auto" w:fill="F5F0E7"/>
          </w:tcPr>
          <w:p>
            <w:pPr>
              <w:pStyle w:val="TableHeaderCompact"/>
            </w:pPr>
            <w:r>
              <w:t xml:space="preserve">GOV3 control links</w:t>
            </w:r>
          </w:p>
        </w:tc>
      </w:tr>
      <w:tr>
        <w:tc>
          <w:tcPr>
            <w:tcW w:w="2225" w:type="dxa"/>
          </w:tcPr>
          <w:p>
            <w:pPr>
              <w:pStyle w:val="TableBodyCompact"/>
            </w:pPr>
            <w:r>
              <w:t xml:space="preserve">Identity and authorization</w:t>
            </w:r>
          </w:p>
        </w:tc>
        <w:tc>
          <w:tcPr>
            <w:tcW w:w="1639" w:type="dxa"/>
          </w:tcPr>
          <w:p>
            <w:pPr>
              <w:pStyle w:val="TableBodyCompact"/>
            </w:pPr>
          </w:p>
        </w:tc>
        <w:tc>
          <w:tcPr>
            <w:tcW w:w="1346" w:type="dxa"/>
          </w:tcPr>
          <w:p>
            <w:pPr>
              <w:pStyle w:val="TableBodyCompact"/>
            </w:pPr>
          </w:p>
        </w:tc>
        <w:tc>
          <w:tcPr>
            <w:tcW w:w="1171" w:type="dxa"/>
          </w:tcPr>
          <w:p>
            <w:pPr>
              <w:pStyle w:val="TableBodyCompact"/>
            </w:pPr>
          </w:p>
        </w:tc>
        <w:tc>
          <w:tcPr>
            <w:tcW w:w="1346" w:type="dxa"/>
          </w:tcPr>
          <w:p>
            <w:pPr>
              <w:pStyle w:val="TableBodyCompact"/>
            </w:pPr>
          </w:p>
        </w:tc>
        <w:tc>
          <w:tcPr>
            <w:tcW w:w="560" w:type="dxa"/>
          </w:tcPr>
          <w:p>
            <w:pPr>
              <w:pStyle w:val="TableBodyCompact"/>
            </w:pPr>
          </w:p>
        </w:tc>
        <w:tc>
          <w:tcPr>
            <w:tcW w:w="1433" w:type="dxa"/>
          </w:tcPr>
          <w:p>
            <w:pPr>
              <w:pStyle w:val="TableBodyCompact"/>
            </w:pPr>
            <w:r>
              <w:rPr>
                <w:rStyle w:val="InlineCode"/>
              </w:rPr>
              <w:t xml:space="preserve">IAM-01</w:t>
            </w:r>
            <w:r>
              <w:t xml:space="preserve">, </w:t>
            </w:r>
            <w:r>
              <w:rPr>
                <w:rStyle w:val="InlineCode"/>
              </w:rPr>
              <w:t xml:space="preserve">IAM-02</w:t>
            </w:r>
          </w:p>
        </w:tc>
      </w:tr>
      <w:tr>
        <w:tc>
          <w:tcPr>
            <w:tcW w:w="2225" w:type="dxa"/>
          </w:tcPr>
          <w:p>
            <w:pPr>
              <w:pStyle w:val="TableBodyCompact"/>
            </w:pPr>
            <w:r>
              <w:t xml:space="preserve">Tenant and data isolation</w:t>
            </w:r>
          </w:p>
        </w:tc>
        <w:tc>
          <w:tcPr>
            <w:tcW w:w="1639" w:type="dxa"/>
          </w:tcPr>
          <w:p>
            <w:pPr>
              <w:pStyle w:val="TableBodyCompact"/>
            </w:pPr>
          </w:p>
        </w:tc>
        <w:tc>
          <w:tcPr>
            <w:tcW w:w="1346" w:type="dxa"/>
          </w:tcPr>
          <w:p>
            <w:pPr>
              <w:pStyle w:val="TableBodyCompact"/>
            </w:pPr>
          </w:p>
        </w:tc>
        <w:tc>
          <w:tcPr>
            <w:tcW w:w="1171" w:type="dxa"/>
          </w:tcPr>
          <w:p>
            <w:pPr>
              <w:pStyle w:val="TableBodyCompact"/>
            </w:pPr>
          </w:p>
        </w:tc>
        <w:tc>
          <w:tcPr>
            <w:tcW w:w="1346" w:type="dxa"/>
          </w:tcPr>
          <w:p>
            <w:pPr>
              <w:pStyle w:val="TableBodyCompact"/>
            </w:pPr>
          </w:p>
        </w:tc>
        <w:tc>
          <w:tcPr>
            <w:tcW w:w="560" w:type="dxa"/>
          </w:tcPr>
          <w:p>
            <w:pPr>
              <w:pStyle w:val="TableBodyCompact"/>
            </w:pPr>
          </w:p>
        </w:tc>
        <w:tc>
          <w:tcPr>
            <w:tcW w:w="1433" w:type="dxa"/>
          </w:tcPr>
          <w:p>
            <w:pPr>
              <w:pStyle w:val="TableBodyCompact"/>
            </w:pPr>
            <w:r>
              <w:rPr>
                <w:rStyle w:val="InlineCode"/>
              </w:rPr>
              <w:t xml:space="preserve">DAT-01</w:t>
            </w:r>
            <w:r>
              <w:t xml:space="preserve">, </w:t>
            </w:r>
            <w:r>
              <w:rPr>
                <w:rStyle w:val="InlineCode"/>
              </w:rPr>
              <w:t xml:space="preserve">DAT-02</w:t>
            </w:r>
          </w:p>
        </w:tc>
      </w:tr>
      <w:tr>
        <w:tc>
          <w:tcPr>
            <w:tcW w:w="2225" w:type="dxa"/>
          </w:tcPr>
          <w:p>
            <w:pPr>
              <w:pStyle w:val="TableBodyCompact"/>
            </w:pPr>
            <w:r>
              <w:t xml:space="preserve">Tool and action boundaries</w:t>
            </w:r>
          </w:p>
        </w:tc>
        <w:tc>
          <w:tcPr>
            <w:tcW w:w="1639" w:type="dxa"/>
          </w:tcPr>
          <w:p>
            <w:pPr>
              <w:pStyle w:val="TableBodyCompact"/>
            </w:pPr>
          </w:p>
        </w:tc>
        <w:tc>
          <w:tcPr>
            <w:tcW w:w="1346" w:type="dxa"/>
          </w:tcPr>
          <w:p>
            <w:pPr>
              <w:pStyle w:val="TableBodyCompact"/>
            </w:pPr>
          </w:p>
        </w:tc>
        <w:tc>
          <w:tcPr>
            <w:tcW w:w="1171" w:type="dxa"/>
          </w:tcPr>
          <w:p>
            <w:pPr>
              <w:pStyle w:val="TableBodyCompact"/>
            </w:pPr>
          </w:p>
        </w:tc>
        <w:tc>
          <w:tcPr>
            <w:tcW w:w="1346" w:type="dxa"/>
          </w:tcPr>
          <w:p>
            <w:pPr>
              <w:pStyle w:val="TableBodyCompact"/>
            </w:pPr>
          </w:p>
        </w:tc>
        <w:tc>
          <w:tcPr>
            <w:tcW w:w="560" w:type="dxa"/>
          </w:tcPr>
          <w:p>
            <w:pPr>
              <w:pStyle w:val="TableBodyCompact"/>
            </w:pPr>
          </w:p>
        </w:tc>
        <w:tc>
          <w:tcPr>
            <w:tcW w:w="1433" w:type="dxa"/>
          </w:tcPr>
          <w:p>
            <w:pPr>
              <w:pStyle w:val="TableBodyCompact"/>
            </w:pPr>
            <w:r>
              <w:rPr>
                <w:rStyle w:val="InlineCode"/>
              </w:rPr>
              <w:t xml:space="preserve">TOOL-01</w:t>
            </w:r>
            <w:r>
              <w:t xml:space="preserve">, </w:t>
            </w:r>
            <w:r>
              <w:rPr>
                <w:rStyle w:val="InlineCode"/>
              </w:rPr>
              <w:t xml:space="preserve">IAM-02</w:t>
            </w:r>
          </w:p>
        </w:tc>
      </w:tr>
      <w:tr>
        <w:tc>
          <w:tcPr>
            <w:tcW w:w="2225" w:type="dxa"/>
          </w:tcPr>
          <w:p>
            <w:pPr>
              <w:pStyle w:val="TableBodyCompact"/>
            </w:pPr>
            <w:r>
              <w:t xml:space="preserve">Secrets and egress</w:t>
            </w:r>
          </w:p>
        </w:tc>
        <w:tc>
          <w:tcPr>
            <w:tcW w:w="1639" w:type="dxa"/>
          </w:tcPr>
          <w:p>
            <w:pPr>
              <w:pStyle w:val="TableBodyCompact"/>
            </w:pPr>
          </w:p>
        </w:tc>
        <w:tc>
          <w:tcPr>
            <w:tcW w:w="1346" w:type="dxa"/>
          </w:tcPr>
          <w:p>
            <w:pPr>
              <w:pStyle w:val="TableBodyCompact"/>
            </w:pPr>
          </w:p>
        </w:tc>
        <w:tc>
          <w:tcPr>
            <w:tcW w:w="1171" w:type="dxa"/>
          </w:tcPr>
          <w:p>
            <w:pPr>
              <w:pStyle w:val="TableBodyCompact"/>
            </w:pPr>
          </w:p>
        </w:tc>
        <w:tc>
          <w:tcPr>
            <w:tcW w:w="1346" w:type="dxa"/>
          </w:tcPr>
          <w:p>
            <w:pPr>
              <w:pStyle w:val="TableBodyCompact"/>
            </w:pPr>
          </w:p>
        </w:tc>
        <w:tc>
          <w:tcPr>
            <w:tcW w:w="560" w:type="dxa"/>
          </w:tcPr>
          <w:p>
            <w:pPr>
              <w:pStyle w:val="TableBodyCompact"/>
            </w:pPr>
          </w:p>
        </w:tc>
        <w:tc>
          <w:tcPr>
            <w:tcW w:w="1433" w:type="dxa"/>
          </w:tcPr>
          <w:p>
            <w:pPr>
              <w:pStyle w:val="TableBodyCompact"/>
            </w:pPr>
            <w:r>
              <w:rPr>
                <w:rStyle w:val="InlineCode"/>
              </w:rPr>
              <w:t xml:space="preserve">SEC-01</w:t>
            </w:r>
          </w:p>
        </w:tc>
      </w:tr>
      <w:tr>
        <w:tc>
          <w:tcPr>
            <w:tcW w:w="2225" w:type="dxa"/>
          </w:tcPr>
          <w:p>
            <w:pPr>
              <w:pStyle w:val="TableBodyCompact"/>
            </w:pPr>
            <w:r>
              <w:t xml:space="preserve">Audit-event completeness and export</w:t>
            </w:r>
          </w:p>
        </w:tc>
        <w:tc>
          <w:tcPr>
            <w:tcW w:w="1639" w:type="dxa"/>
          </w:tcPr>
          <w:p>
            <w:pPr>
              <w:pStyle w:val="TableBodyCompact"/>
            </w:pPr>
          </w:p>
        </w:tc>
        <w:tc>
          <w:tcPr>
            <w:tcW w:w="1346" w:type="dxa"/>
          </w:tcPr>
          <w:p>
            <w:pPr>
              <w:pStyle w:val="TableBodyCompact"/>
            </w:pPr>
          </w:p>
        </w:tc>
        <w:tc>
          <w:tcPr>
            <w:tcW w:w="1171" w:type="dxa"/>
          </w:tcPr>
          <w:p>
            <w:pPr>
              <w:pStyle w:val="TableBodyCompact"/>
            </w:pPr>
          </w:p>
        </w:tc>
        <w:tc>
          <w:tcPr>
            <w:tcW w:w="1346" w:type="dxa"/>
          </w:tcPr>
          <w:p>
            <w:pPr>
              <w:pStyle w:val="TableBodyCompact"/>
            </w:pPr>
          </w:p>
        </w:tc>
        <w:tc>
          <w:tcPr>
            <w:tcW w:w="560" w:type="dxa"/>
          </w:tcPr>
          <w:p>
            <w:pPr>
              <w:pStyle w:val="TableBodyCompact"/>
            </w:pPr>
          </w:p>
        </w:tc>
        <w:tc>
          <w:tcPr>
            <w:tcW w:w="1433" w:type="dxa"/>
          </w:tcPr>
          <w:p>
            <w:pPr>
              <w:pStyle w:val="TableBodyCompact"/>
            </w:pPr>
            <w:r>
              <w:rPr>
                <w:rStyle w:val="InlineCode"/>
              </w:rPr>
              <w:t xml:space="preserve">AUD-01</w:t>
            </w:r>
            <w:r>
              <w:t xml:space="preserve">, </w:t>
            </w:r>
            <w:r>
              <w:rPr>
                <w:rStyle w:val="InlineCode"/>
              </w:rPr>
              <w:t xml:space="preserve">AUD-02</w:t>
            </w:r>
          </w:p>
        </w:tc>
      </w:tr>
      <w:tr>
        <w:tc>
          <w:tcPr>
            <w:tcW w:w="2225" w:type="dxa"/>
          </w:tcPr>
          <w:p>
            <w:pPr>
              <w:pStyle w:val="TableBodyCompact"/>
            </w:pPr>
            <w:r>
              <w:t xml:space="preserve">Configuration and version traceability</w:t>
            </w:r>
          </w:p>
        </w:tc>
        <w:tc>
          <w:tcPr>
            <w:tcW w:w="1639" w:type="dxa"/>
          </w:tcPr>
          <w:p>
            <w:pPr>
              <w:pStyle w:val="TableBodyCompact"/>
            </w:pPr>
          </w:p>
        </w:tc>
        <w:tc>
          <w:tcPr>
            <w:tcW w:w="1346" w:type="dxa"/>
          </w:tcPr>
          <w:p>
            <w:pPr>
              <w:pStyle w:val="TableBodyCompact"/>
            </w:pPr>
          </w:p>
        </w:tc>
        <w:tc>
          <w:tcPr>
            <w:tcW w:w="1171" w:type="dxa"/>
          </w:tcPr>
          <w:p>
            <w:pPr>
              <w:pStyle w:val="TableBodyCompact"/>
            </w:pPr>
          </w:p>
        </w:tc>
        <w:tc>
          <w:tcPr>
            <w:tcW w:w="1346" w:type="dxa"/>
          </w:tcPr>
          <w:p>
            <w:pPr>
              <w:pStyle w:val="TableBodyCompact"/>
            </w:pPr>
          </w:p>
        </w:tc>
        <w:tc>
          <w:tcPr>
            <w:tcW w:w="560" w:type="dxa"/>
          </w:tcPr>
          <w:p>
            <w:pPr>
              <w:pStyle w:val="TableBodyCompact"/>
            </w:pPr>
          </w:p>
        </w:tc>
        <w:tc>
          <w:tcPr>
            <w:tcW w:w="1433" w:type="dxa"/>
          </w:tcPr>
          <w:p>
            <w:pPr>
              <w:pStyle w:val="TableBodyCompact"/>
            </w:pPr>
            <w:r>
              <w:rPr>
                <w:rStyle w:val="InlineCode"/>
              </w:rPr>
              <w:t xml:space="preserve">SUP-01</w:t>
            </w:r>
            <w:r>
              <w:t xml:space="preserve">, </w:t>
            </w:r>
            <w:r>
              <w:rPr>
                <w:rStyle w:val="InlineCode"/>
              </w:rPr>
              <w:t xml:space="preserve">CFG-01</w:t>
            </w:r>
            <w:r>
              <w:t xml:space="preserve">, </w:t>
            </w:r>
            <w:r>
              <w:rPr>
                <w:rStyle w:val="InlineCode"/>
              </w:rPr>
              <w:t xml:space="preserve">CFG-02</w:t>
            </w:r>
          </w:p>
        </w:tc>
      </w:tr>
      <w:tr>
        <w:tc>
          <w:tcPr>
            <w:tcW w:w="2225" w:type="dxa"/>
          </w:tcPr>
          <w:p>
            <w:pPr>
              <w:pStyle w:val="TableBodyCompact"/>
            </w:pPr>
            <w:r>
              <w:t xml:space="preserve">Kill, containment, and recovery</w:t>
            </w:r>
          </w:p>
        </w:tc>
        <w:tc>
          <w:tcPr>
            <w:tcW w:w="1639" w:type="dxa"/>
          </w:tcPr>
          <w:p>
            <w:pPr>
              <w:pStyle w:val="TableBodyCompact"/>
            </w:pPr>
          </w:p>
        </w:tc>
        <w:tc>
          <w:tcPr>
            <w:tcW w:w="1346" w:type="dxa"/>
          </w:tcPr>
          <w:p>
            <w:pPr>
              <w:pStyle w:val="TableBodyCompact"/>
            </w:pPr>
          </w:p>
        </w:tc>
        <w:tc>
          <w:tcPr>
            <w:tcW w:w="1171" w:type="dxa"/>
          </w:tcPr>
          <w:p>
            <w:pPr>
              <w:pStyle w:val="TableBodyCompact"/>
            </w:pPr>
          </w:p>
        </w:tc>
        <w:tc>
          <w:tcPr>
            <w:tcW w:w="1346" w:type="dxa"/>
          </w:tcPr>
          <w:p>
            <w:pPr>
              <w:pStyle w:val="TableBodyCompact"/>
            </w:pPr>
          </w:p>
        </w:tc>
        <w:tc>
          <w:tcPr>
            <w:tcW w:w="560" w:type="dxa"/>
          </w:tcPr>
          <w:p>
            <w:pPr>
              <w:pStyle w:val="TableBodyCompact"/>
            </w:pPr>
          </w:p>
        </w:tc>
        <w:tc>
          <w:tcPr>
            <w:tcW w:w="1433" w:type="dxa"/>
          </w:tcPr>
          <w:p>
            <w:pPr>
              <w:pStyle w:val="TableBodyCompact"/>
            </w:pPr>
            <w:r>
              <w:rPr>
                <w:rStyle w:val="InlineCode"/>
              </w:rPr>
              <w:t xml:space="preserve">OPS-01</w:t>
            </w:r>
            <w:r>
              <w:t xml:space="preserve">, </w:t>
            </w:r>
            <w:r>
              <w:rPr>
                <w:rStyle w:val="InlineCode"/>
              </w:rPr>
              <w:t xml:space="preserve">BCP-01</w:t>
            </w:r>
            <w:r>
              <w:t xml:space="preserve">, </w:t>
            </w:r>
            <w:r>
              <w:rPr>
                <w:rStyle w:val="InlineCode"/>
              </w:rPr>
              <w:t xml:space="preserve">IR-01</w:t>
            </w:r>
          </w:p>
        </w:tc>
      </w:tr>
      <w:tr>
        <w:tc>
          <w:tcPr>
            <w:tcW w:w="2225" w:type="dxa"/>
          </w:tcPr>
          <w:p>
            <w:pPr>
              <w:pStyle w:val="TableBodyCompact"/>
            </w:pPr>
            <w:r>
              <w:t xml:space="preserve">Evidence portability</w:t>
            </w:r>
          </w:p>
        </w:tc>
        <w:tc>
          <w:tcPr>
            <w:tcW w:w="1639" w:type="dxa"/>
          </w:tcPr>
          <w:p>
            <w:pPr>
              <w:pStyle w:val="TableBodyCompact"/>
            </w:pPr>
          </w:p>
        </w:tc>
        <w:tc>
          <w:tcPr>
            <w:tcW w:w="1346" w:type="dxa"/>
          </w:tcPr>
          <w:p>
            <w:pPr>
              <w:pStyle w:val="TableBodyCompact"/>
            </w:pPr>
          </w:p>
        </w:tc>
        <w:tc>
          <w:tcPr>
            <w:tcW w:w="1171" w:type="dxa"/>
          </w:tcPr>
          <w:p>
            <w:pPr>
              <w:pStyle w:val="TableBodyCompact"/>
            </w:pPr>
          </w:p>
        </w:tc>
        <w:tc>
          <w:tcPr>
            <w:tcW w:w="1346" w:type="dxa"/>
          </w:tcPr>
          <w:p>
            <w:pPr>
              <w:pStyle w:val="TableBodyCompact"/>
            </w:pPr>
          </w:p>
        </w:tc>
        <w:tc>
          <w:tcPr>
            <w:tcW w:w="560" w:type="dxa"/>
          </w:tcPr>
          <w:p>
            <w:pPr>
              <w:pStyle w:val="TableBodyCompact"/>
            </w:pPr>
          </w:p>
        </w:tc>
        <w:tc>
          <w:tcPr>
            <w:tcW w:w="1433" w:type="dxa"/>
          </w:tcPr>
          <w:p>
            <w:pPr>
              <w:pStyle w:val="TableBodyCompact"/>
            </w:pPr>
            <w:r>
              <w:rPr>
                <w:rStyle w:val="InlineCode"/>
              </w:rPr>
              <w:t xml:space="preserve">AUD-02</w:t>
            </w:r>
            <w:r>
              <w:t xml:space="preserve">, </w:t>
            </w:r>
            <w:r>
              <w:rPr>
                <w:rStyle w:val="InlineCode"/>
              </w:rPr>
              <w:t xml:space="preserve">EXIT-01</w:t>
            </w:r>
          </w:p>
        </w:tc>
      </w:tr>
      <w:tr>
        <w:tc>
          <w:tcPr>
            <w:tcW w:w="2225" w:type="dxa"/>
          </w:tcPr>
          <w:p>
            <w:pPr>
              <w:pStyle w:val="TableBodyCompact"/>
            </w:pPr>
            <w:r>
              <w:t xml:space="preserve">Exit and lock-in evidence</w:t>
            </w:r>
          </w:p>
        </w:tc>
        <w:tc>
          <w:tcPr>
            <w:tcW w:w="1639" w:type="dxa"/>
          </w:tcPr>
          <w:p>
            <w:pPr>
              <w:pStyle w:val="TableBodyCompact"/>
            </w:pPr>
          </w:p>
        </w:tc>
        <w:tc>
          <w:tcPr>
            <w:tcW w:w="1346" w:type="dxa"/>
          </w:tcPr>
          <w:p>
            <w:pPr>
              <w:pStyle w:val="TableBodyCompact"/>
            </w:pPr>
          </w:p>
        </w:tc>
        <w:tc>
          <w:tcPr>
            <w:tcW w:w="1171" w:type="dxa"/>
          </w:tcPr>
          <w:p>
            <w:pPr>
              <w:pStyle w:val="TableBodyCompact"/>
            </w:pPr>
          </w:p>
        </w:tc>
        <w:tc>
          <w:tcPr>
            <w:tcW w:w="1346" w:type="dxa"/>
          </w:tcPr>
          <w:p>
            <w:pPr>
              <w:pStyle w:val="TableBodyCompact"/>
            </w:pPr>
          </w:p>
        </w:tc>
        <w:tc>
          <w:tcPr>
            <w:tcW w:w="560" w:type="dxa"/>
          </w:tcPr>
          <w:p>
            <w:pPr>
              <w:pStyle w:val="TableBodyCompact"/>
            </w:pPr>
          </w:p>
        </w:tc>
        <w:tc>
          <w:tcPr>
            <w:tcW w:w="1433" w:type="dxa"/>
          </w:tcPr>
          <w:p>
            <w:pPr>
              <w:pStyle w:val="TableBodyCompact"/>
            </w:pPr>
            <w:r>
              <w:rPr>
                <w:rStyle w:val="InlineCode"/>
              </w:rPr>
              <w:t xml:space="preserve">EXIT-01</w:t>
            </w:r>
            <w:r>
              <w:t xml:space="preserve">, </w:t>
            </w:r>
            <w:r>
              <w:rPr>
                <w:rStyle w:val="InlineCode"/>
              </w:rPr>
              <w:t xml:space="preserve">RET-01</w:t>
            </w:r>
          </w:p>
        </w:tc>
      </w:tr>
    </w:tbl>
    <w:p>
      <w:pPr>
        <w:pStyle w:val="BodyText"/>
      </w:pPr>
      <w:r>
        <w:t xml:space="preserve">The canonical screening disposition in section 4 governs every mandatory </w:t>
      </w:r>
      <w:r>
        <w:rPr>
          <w:rStyle w:val="InlineCode"/>
        </w:rPr>
        <w:t xml:space="preserve">unknown</w:t>
      </w:r>
      <w:r>
        <w:t xml:space="preserve"> or </w:t>
      </w:r>
      <w:r>
        <w:rPr>
          <w:rStyle w:val="InlineCode"/>
        </w:rPr>
        <w:t xml:space="preserve">unsupported</w:t>
      </w:r>
      <w:r>
        <w:t xml:space="preserve"> result in this table. Record any applicable GOV1 exception and its defined compensating outcome beside the result.</w:t>
      </w:r>
    </w:p>
    <w:p>
      <w:pPr>
        <w:pStyle w:val="BodyText"/>
      </w:pPr>
      <w:r>
        <w:t xml:space="preserve">Record each result as </w:t>
      </w:r>
      <w:r>
        <w:rPr>
          <w:rStyle w:val="InlineCode"/>
        </w:rPr>
        <w:t xml:space="preserve">supported</w:t>
      </w:r>
      <w:r>
        <w:t xml:space="preserve">, </w:t>
      </w:r>
      <w:r>
        <w:rPr>
          <w:rStyle w:val="InlineCode"/>
        </w:rPr>
        <w:t xml:space="preserve">unknown</w:t>
      </w:r>
      <w:r>
        <w:t xml:space="preserve"> or </w:t>
      </w:r>
      <w:r>
        <w:rPr>
          <w:rStyle w:val="InlineCode"/>
        </w:rPr>
        <w:t xml:space="preserve">unsupported</w:t>
      </w:r>
      <w:r>
        <w:t xml:space="preserve">.</w:t>
      </w:r>
    </w:p>
    <w:p>
      <w:pPr>
        <w:pStyle w:val="Heading2"/>
      </w:pPr>
      <w:r>
        <w:t xml:space="preserve">References</w:t>
      </w:r>
    </w:p>
    <w:p>
      <w:pPr>
        <w:pStyle w:val="BodyText"/>
      </w:pPr>
      <w:r>
        <w:t xml:space="preserve">The references below identify the external sources cited in this framework.</w:t>
      </w:r>
    </w:p>
    <w:p>
      <w:pPr>
        <w:pStyle w:val="ListParagraph"/>
        <w:numPr>
          <w:ilvl w:val="0"/>
          <w:numId w:val="15"/>
        </w:numPr>
      </w:pPr>
      <w:r>
        <w:t xml:space="preserve">[G07] NIST, </w:t>
      </w:r>
      <w:r>
        <w:rPr>
          <w:i/>
        </w:rPr>
        <w:t xml:space="preserve">Artificial Intelligence Risk Management Framework (AI RMF 1.0)</w:t>
      </w:r>
      <w:r>
        <w:t xml:space="preserve">.</w:t>
      </w:r>
    </w:p>
    <w:p>
      <w:pPr>
        <w:pStyle w:val="ListParagraph"/>
        <w:numPr>
          <w:ilvl w:val="0"/>
          <w:numId w:val="15"/>
        </w:numPr>
      </w:pPr>
      <w:r>
        <w:t xml:space="preserve">[G08] NIST AI Resource Center, </w:t>
      </w:r>
      <w:r>
        <w:rPr>
          <w:i/>
        </w:rPr>
        <w:t xml:space="preserve">AI RMF Core</w:t>
      </w:r>
      <w:r>
        <w:t xml:space="preserve">.</w:t>
      </w:r>
    </w:p>
    <w:p>
      <w:pPr>
        <w:pStyle w:val="ListParagraph"/>
        <w:numPr>
          <w:ilvl w:val="0"/>
          <w:numId w:val="15"/>
        </w:numPr>
      </w:pPr>
      <w:r>
        <w:t xml:space="preserve">[G09] NIST AI Resource Center, </w:t>
      </w:r>
      <w:r>
        <w:rPr>
          <w:i/>
        </w:rPr>
        <w:t xml:space="preserve">NIST AI RMF Playbook</w:t>
      </w:r>
      <w:r>
        <w:t xml:space="preserve">.</w:t>
      </w:r>
    </w:p>
    <w:p>
      <w:pPr>
        <w:pStyle w:val="ListParagraph"/>
        <w:numPr>
          <w:ilvl w:val="0"/>
          <w:numId w:val="15"/>
        </w:numPr>
      </w:pPr>
      <w:r>
        <w:t xml:space="preserve">[G10] NIST, </w:t>
      </w:r>
      <w:r>
        <w:rPr>
          <w:i/>
        </w:rPr>
        <w:t xml:space="preserve">Artificial Intelligence Risk Management Framework: Generative Artificial Intelligence Profile (NIST AI 600-1)</w:t>
      </w:r>
      <w:r>
        <w:t xml:space="preserve">.</w:t>
      </w:r>
    </w:p>
    <w:p>
      <w:pPr>
        <w:pStyle w:val="ListParagraph"/>
        <w:numPr>
          <w:ilvl w:val="0"/>
          <w:numId w:val="15"/>
        </w:numPr>
      </w:pPr>
      <w:r>
        <w:t xml:space="preserve">[G11] NIST, </w:t>
      </w:r>
      <w:r>
        <w:rPr>
          <w:i/>
        </w:rPr>
        <w:t xml:space="preserve">Security and Privacy Controls for Information Systems and Organizations (SP 800-53 Rev. 5)</w:t>
      </w:r>
      <w:r>
        <w:t xml:space="preserve">.</w:t>
      </w:r>
    </w:p>
    <w:p>
      <w:pPr>
        <w:pStyle w:val="ListParagraph"/>
        <w:numPr>
          <w:ilvl w:val="0"/>
          <w:numId w:val="15"/>
        </w:numPr>
      </w:pPr>
      <w:r>
        <w:t xml:space="preserve">[G12] NIST, </w:t>
      </w:r>
      <w:r>
        <w:rPr>
          <w:i/>
        </w:rPr>
        <w:t xml:space="preserve">Secure Software Development Framework (SP 800-218)</w:t>
      </w:r>
      <w:r>
        <w:t xml:space="preserve">.</w:t>
      </w:r>
    </w:p>
    <w:p>
      <w:pPr>
        <w:pStyle w:val="ListParagraph"/>
        <w:numPr>
          <w:ilvl w:val="0"/>
          <w:numId w:val="15"/>
        </w:numPr>
      </w:pPr>
      <w:r>
        <w:t xml:space="preserve">[G13] NIST, </w:t>
      </w:r>
      <w:r>
        <w:rPr>
          <w:i/>
        </w:rPr>
        <w:t xml:space="preserve">Cybersecurity Framework 2.0</w:t>
      </w:r>
      <w:r>
        <w:t xml:space="preserve">.</w:t>
      </w:r>
    </w:p>
    <w:p>
      <w:pPr>
        <w:pStyle w:val="ListParagraph"/>
        <w:numPr>
          <w:ilvl w:val="0"/>
          <w:numId w:val="15"/>
        </w:numPr>
      </w:pPr>
      <w:r>
        <w:t xml:space="preserve">[G14] MITRE, </w:t>
      </w:r>
      <w:r>
        <w:rPr>
          <w:i/>
        </w:rPr>
        <w:t xml:space="preserve">Adversarial Threat Landscape for Artificial-Intelligence Systems (ATLAS)</w:t>
      </w:r>
      <w:r>
        <w:t xml:space="preserve">.</w:t>
      </w:r>
    </w:p>
    <w:p>
      <w:pPr>
        <w:pStyle w:val="ListParagraph"/>
        <w:numPr>
          <w:ilvl w:val="0"/>
          <w:numId w:val="15"/>
        </w:numPr>
      </w:pPr>
      <w:r>
        <w:t xml:space="preserve">[G15] ISO, </w:t>
      </w:r>
      <w:r>
        <w:rPr>
          <w:i/>
        </w:rPr>
        <w:t xml:space="preserve">ISO/IEC 42001:2023</w:t>
      </w:r>
      <w:r>
        <w:t xml:space="preserve"> official record.</w:t>
      </w:r>
    </w:p>
    <w:p>
      <w:pPr>
        <w:pStyle w:val="BodyText"/>
      </w:pPr>
    </w:p>
    <w:sectPr>
      <w:footerReference w:type="default" r:id="rIdFooter"/>
      <w:pgSz w:w="12240" w:h="15840"/>
      <w:pgMar w:top="1080" w:right="1260" w:bottom="1080" w:left="1260" w:header="0" w:footer="540" w:gutter="0"/>
      <w:cols w:space="720"/>
      <w:docGrid w:linePitch="360"/>
    </w:sectPr>
  </w:body>
</w:document>
</file>

<file path=word/fontTable.xml><?xml version="1.0" encoding="utf-8"?>
<w:fonts xmlns:w="http://schemas.openxmlformats.org/wordprocessingml/2006/main">
  <w:font w:name="DM Sans">
    <w:altName w:val="Segoe UI"/>
  </w:font>
  <w:font w:name="IBM Plex Mono">
    <w:altName w:val="Consolas"/>
  </w:font>
</w:fonts>
</file>

<file path=word/footer1.xml><?xml version="1.0" encoding="utf-8"?>
<w:ftr xmlns:w="http://schemas.openxmlformats.org/wordprocessingml/2006/main" xmlns:r="http://schemas.openxmlformats.org/officeDocument/2006/relationships">
  <w:p>
    <w:pPr>
      <w:pStyle w:val="FooterText"/>
    </w:pPr>
    <w:r>
      <w:t xml:space="preserve">AI Agent Control Checklists — page </w:t>
    </w:r>
    <w:fldSimple w:instr=" PAGE ">
      <w:r>
        <w:t>1</w:t>
      </w:r>
    </w:fldSimpl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240"/>
      </w:pPr>
      <w:rPr>
        <w:rFonts w:ascii="Symbol" w:hAnsi="Symbol"/>
      </w:rPr>
    </w:lvl>
  </w:abstractNum>
  <w:abstractNum w:abstractNumId="1">
    <w:multiLevelType w:val="hybridMultilevel"/>
    <w:lvl w:ilvl="0">
      <w:start w:val="1"/>
      <w:numFmt w:val="decimal"/>
      <w:lvlText w:val="%1."/>
      <w:lvlJc w:val="left"/>
      <w:pPr>
        <w:ind w:left="360" w:hanging="240"/>
      </w:pPr>
    </w:lvl>
  </w:abstractNum>
  <w:num w:numId="1">
    <w:abstractNumId w:val="1"/>
  </w:num>
  <w:num w:numId="2">
    <w:abstractNumId w:val="0"/>
  </w:num>
  <w:num w:numId="3">
    <w:abstractNumId w:val="1"/>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1"/>
  </w:num>
  <w:num w:numId="15">
    <w:abstractNumId w:val="0"/>
  </w:num>
</w:numbering>
</file>

<file path=word/styles.xml><?xml version="1.0" encoding="utf-8"?>
<w:styles xmlns:w="http://schemas.openxmlformats.org/wordprocessingml/2006/main">
  <w:docDefaults>
    <w:rPrDefault>
      <w:rPr>
        <w:rFonts w:ascii="DM Sans" w:hAnsi="DM Sans" w:eastAsia="DM Sans"/>
        <w:color w:val="151210"/>
        <w:sz w:val="21"/>
        <w:szCs w:val="21"/>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unhideWhenUsed/>
  </w:style>
  <w:style w:type="paragraph" w:styleId="BodyText">
    <w:name w:val="Body Text"/>
    <w:basedOn w:val="Normal"/>
    <w:next w:val="BodyText"/>
    <w:qFormat/>
    <w:pPr>
      <w:spacing w:before="0" w:after="160" w:line="276" w:lineRule="auto"/>
    </w:pPr>
  </w:style>
  <w:style w:type="paragraph" w:styleId="Title">
    <w:name w:val="Title"/>
    <w:basedOn w:val="Normal"/>
    <w:next w:val="Subtitle"/>
    <w:qFormat/>
    <w:pPr>
      <w:keepNext/>
      <w:spacing w:before="240" w:after="180"/>
      <w:jc w:val="center"/>
    </w:pPr>
    <w:rPr>
      <w:b/>
      <w:color w:val="A96D00"/>
      <w:sz w:val="48"/>
      <w:szCs w:val="48"/>
    </w:rPr>
  </w:style>
  <w:style w:type="paragraph" w:styleId="Subtitle">
    <w:name w:val="Subtitle"/>
    <w:basedOn w:val="Normal"/>
    <w:next w:val="BodyText"/>
    <w:qFormat/>
    <w:pPr>
      <w:spacing w:after="300"/>
      <w:jc w:val="center"/>
    </w:pPr>
    <w:rPr>
      <w:color w:val="754900"/>
      <w:sz w:val="26"/>
      <w:szCs w:val="26"/>
    </w:rPr>
  </w:style>
  <w:style w:type="paragraph" w:styleId="Heading1">
    <w:name w:val="heading 1"/>
    <w:basedOn w:val="Normal"/>
    <w:next w:val="BodyText"/>
    <w:qFormat/>
    <w:pPr>
      <w:keepNext/>
      <w:keepLines/>
      <w:spacing w:before="320" w:after="160"/>
      <w:outlineLvl w:val="0"/>
    </w:pPr>
    <w:rPr>
      <w:b/>
      <w:color w:val="A96D00"/>
      <w:sz w:val="34"/>
      <w:szCs w:val="34"/>
    </w:rPr>
  </w:style>
  <w:style w:type="paragraph" w:styleId="Heading2">
    <w:name w:val="heading 2"/>
    <w:basedOn w:val="Normal"/>
    <w:next w:val="BodyText"/>
    <w:qFormat/>
    <w:pPr>
      <w:keepNext/>
      <w:keepLines/>
      <w:spacing w:before="260" w:after="120"/>
      <w:outlineLvl w:val="1"/>
    </w:pPr>
    <w:rPr>
      <w:b/>
      <w:color w:val="754900"/>
      <w:sz w:val="28"/>
      <w:szCs w:val="28"/>
    </w:rPr>
  </w:style>
  <w:style w:type="paragraph" w:styleId="Heading3">
    <w:name w:val="heading 3"/>
    <w:basedOn w:val="Normal"/>
    <w:next w:val="BodyText"/>
    <w:qFormat/>
    <w:pPr>
      <w:keepNext/>
      <w:keepLines/>
      <w:spacing w:before="220" w:after="100"/>
      <w:outlineLvl w:val="2"/>
    </w:pPr>
    <w:rPr>
      <w:b/>
      <w:color w:val="151210"/>
      <w:sz w:val="24"/>
      <w:szCs w:val="24"/>
    </w:rPr>
  </w:style>
  <w:style w:type="paragraph" w:styleId="Quote">
    <w:name w:val="Quote"/>
    <w:basedOn w:val="BodyText"/>
    <w:next w:val="BodyText"/>
    <w:qFormat/>
    <w:pPr>
      <w:pBdr>
        <w:left w:val="single" w:sz="16" w:space="12" w:color="A96D00"/>
      </w:pBdr>
      <w:spacing w:before="100" w:after="180"/>
      <w:ind w:left="480" w:right="240"/>
    </w:pPr>
    <w:rPr>
      <w:i/>
      <w:color w:val="151210"/>
    </w:rPr>
  </w:style>
  <w:style w:type="paragraph" w:styleId="Caption">
    <w:name w:val="Caption"/>
    <w:basedOn w:val="Normal"/>
    <w:next w:val="BodyText"/>
    <w:qFormat/>
    <w:pPr>
      <w:spacing w:after="160"/>
      <w:jc w:val="center"/>
    </w:pPr>
    <w:rPr>
      <w:i/>
      <w:color w:val="151210"/>
      <w:sz w:val="18"/>
      <w:szCs w:val="18"/>
    </w:rPr>
  </w:style>
  <w:style w:type="paragraph" w:styleId="ListParagraph">
    <w:name w:val="List Paragraph"/>
    <w:basedOn w:val="BodyText"/>
    <w:next w:val="BodyText"/>
    <w:qFormat/>
    <w:pPr>
      <w:spacing w:before="0" w:after="60"/>
      <w:ind w:left="360"/>
      <w:contextualSpacing/>
    </w:pPr>
  </w:style>
  <w:style w:type="paragraph" w:styleId="CodeBlock">
    <w:name w:val="Code Block"/>
    <w:basedOn w:val="Normal"/>
    <w:next w:val="BodyText"/>
    <w:qFormat/>
    <w:pPr>
      <w:pBdr>
        <w:left w:val="single" w:sz="12" w:space="8" w:color="A96D00"/>
      </w:pBdr>
      <w:shd w:val="clear" w:color="auto" w:fill="FFFDF8"/>
      <w:spacing w:before="80" w:after="160" w:line="240" w:lineRule="auto"/>
      <w:ind w:left="240" w:right="240"/>
    </w:pPr>
    <w:rPr>
      <w:rFonts w:ascii="IBM Plex Mono" w:hAnsi="IBM Plex Mono" w:eastAsia="IBM Plex Mono"/>
      <w:sz w:val="18"/>
      <w:szCs w:val="18"/>
    </w:rPr>
  </w:style>
  <w:style w:type="paragraph" w:styleId="TableHeader">
    <w:name w:val="Table Header"/>
    <w:basedOn w:val="Normal"/>
    <w:next w:val="TableBody"/>
    <w:qFormat/>
    <w:pPr>
      <w:spacing w:before="0" w:after="0"/>
    </w:pPr>
    <w:rPr>
      <w:b/>
      <w:color w:val="151210"/>
    </w:rPr>
  </w:style>
  <w:style w:type="paragraph" w:styleId="TableBody">
    <w:name w:val="Table Body"/>
    <w:basedOn w:val="Normal"/>
    <w:next w:val="TableBody"/>
    <w:qFormat/>
    <w:pPr>
      <w:spacing w:before="0" w:after="0"/>
    </w:pPr>
    <w:rPr>
      <w:sz w:val="19"/>
      <w:szCs w:val="19"/>
    </w:rPr>
  </w:style>
  <w:style w:type="paragraph" w:styleId="TableHeaderCompact">
    <w:name w:val="Table Header Compact"/>
    <w:basedOn w:val="TableHeader"/>
    <w:next w:val="TableBodyCompact"/>
    <w:qFormat/>
    <w:pPr>
      <w:spacing w:before="0" w:after="0"/>
    </w:pPr>
    <w:rPr>
      <w:b/>
      <w:color w:val="151210"/>
      <w:sz w:val="16"/>
      <w:szCs w:val="16"/>
    </w:rPr>
  </w:style>
  <w:style w:type="paragraph" w:styleId="TableBodyCompact">
    <w:name w:val="Table Body Compact"/>
    <w:basedOn w:val="TableBody"/>
    <w:next w:val="TableBodyCompact"/>
    <w:qFormat/>
    <w:pPr>
      <w:spacing w:before="0" w:after="0"/>
    </w:pPr>
    <w:rPr>
      <w:sz w:val="16"/>
      <w:szCs w:val="16"/>
    </w:rPr>
  </w:style>
  <w:style w:type="paragraph" w:styleId="FooterText">
    <w:name w:val="Footer"/>
    <w:basedOn w:val="Normal"/>
    <w:next w:val="FooterText"/>
    <w:qFormat/>
    <w:pPr>
      <w:spacing w:before="0" w:after="0"/>
      <w:jc w:val="center"/>
    </w:pPr>
    <w:rPr>
      <w:color w:val="151210"/>
      <w:sz w:val="16"/>
      <w:szCs w:val="16"/>
    </w:rPr>
  </w:style>
  <w:style w:type="character" w:styleId="InlineCode">
    <w:name w:val="Inline Code"/>
    <w:basedOn w:val="DefaultParagraphFont"/>
    <w:rPr>
      <w:rFonts w:ascii="IBM Plex Mono" w:hAnsi="IBM Plex Mono" w:eastAsia="IBM Plex Mono"/>
      <w:color w:val="151210"/>
      <w:sz w:val="19"/>
      <w:szCs w:val="19"/>
      <w:shd w:val="clear" w:color="auto" w:fill="FFFDF8"/>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ContentTable">
    <w:name w:val="Content Table"/>
    <w:basedOn w:val="TableNormal"/>
    <w:uiPriority w:val="35"/>
    <w:qFormat/>
    <w:tblPr>
      <w:tblBorders>
        <w:top w:val="single" w:sz="4" w:color="A96D00"/>
        <w:left w:val="single" w:sz="4" w:color="A96D00"/>
        <w:bottom w:val="single" w:sz="4" w:color="A96D00"/>
        <w:right w:val="single" w:sz="4" w:color="A96D00"/>
        <w:insideH w:val="single" w:sz="4" w:color="A96D00"/>
        <w:insideV w:val="single" w:sz="4" w:color="A96D00"/>
      </w:tblBorders>
      <w:tblCellMar>
        <w:top w:w="80" w:type="dxa"/>
        <w:left w:w="100" w:type="dxa"/>
        <w:bottom w:w="80" w:type="dxa"/>
        <w:right w:w="100" w:type="dxa"/>
      </w:tblCellMar>
    </w:tblPr>
    <w:tblStylePr w:type="firstRow">
      <w:rPr>
        <w:b/>
        <w:color w:val="151210"/>
      </w:rPr>
      <w:tcPr>
        <w:shd w:val="clear" w:color="auto" w:fill="F5F0E7"/>
      </w:tcPr>
    </w:tblStylePr>
    <w:tblStylePr w:type="band1Horz">
      <w:tcPr>
        <w:shd w:val="clear" w:color="auto" w:fill="FFFDF8"/>
      </w:tcPr>
    </w:tblStylePr>
  </w:style>
</w:styles>
</file>

<file path=word/_rels/document.xml.rels><?xml version="1.0" encoding="UTF-8" standalone="yes"?>
<Relationships xmlns="http://schemas.openxmlformats.org/package/2006/relationships">
  <Relationship Id="rIdStyles" Type="http://schemas.openxmlformats.org/officeDocument/2006/relationships/styles" Target="styles.xml"/>
  <Relationship Id="rIdNumbering" Type="http://schemas.openxmlformats.org/officeDocument/2006/relationships/numbering" Target="numbering.xml"/>
  <Relationship Id="rIdFooter" Type="http://schemas.openxmlformats.org/officeDocument/2006/relationships/footer" Target="footer1.xml"/>
  <Relationship Id="rIdFontTable" Type="http://schemas.openxmlformats.org/officeDocument/2006/relationships/fontTable" Target="fontTable.xml"/>
  <Relationship Id="rIdLogo" Type="http://schemas.openxmlformats.org/officeDocument/2006/relationships/image" Target="media/logo.png"/>
</Relationships>
</file>

<file path=docProps/core.xml><?xml version="1.0" encoding="utf-8"?>
<cp:coreProperties xmlns:cp="http://schemas.openxmlformats.org/package/2006/metadata/core-properties" xmlns:dc="http://purl.org/dc/elements/1.1/" xmlns:dcterms="http://purl.org/dc/terms/" xmlns:xsi="http://www.w3.org/2001/XMLSchema-instance">
  <dc:title>AI Agent Control Checklists</dc:title>
  <dc:creator>Alpha AI</dc:creator>
  <cp:lastModifiedBy>Alpha AI</cp:lastModifiedBy>
  <dcterms:created xsi:type="dcterms:W3CDTF">2026-09-08T00:00:00Z</dcterms:created>
  <dcterms:modified xsi:type="dcterms:W3CDTF">2026-09-08T00:00:00Z</dcterms:modified>
</cp:coreProperties>
</file>